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22943" w14:textId="6D70B80F" w:rsidR="004258B0" w:rsidRPr="0052548E" w:rsidRDefault="004258B0" w:rsidP="004258B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C04FD5">
        <w:rPr>
          <w:rFonts w:ascii="Arial" w:hAnsi="Arial" w:cs="Arial"/>
          <w:b/>
          <w:bCs/>
          <w:sz w:val="28"/>
        </w:rPr>
        <w:t xml:space="preserve"> #95 </w:t>
      </w:r>
      <w:r w:rsidR="00C04FD5">
        <w:rPr>
          <w:rFonts w:ascii="Arial" w:hAnsi="Arial" w:cs="Arial"/>
          <w:b/>
          <w:bCs/>
          <w:sz w:val="28"/>
        </w:rPr>
        <w:tab/>
      </w:r>
      <w:r w:rsidR="00C04FD5">
        <w:rPr>
          <w:rFonts w:ascii="Arial" w:hAnsi="Arial" w:cs="Arial"/>
          <w:b/>
          <w:bCs/>
          <w:sz w:val="28"/>
        </w:rPr>
        <w:tab/>
        <w:t>R1-1812853</w:t>
      </w:r>
    </w:p>
    <w:p w14:paraId="7A45DDA2" w14:textId="1CCC7D4C" w:rsidR="004258B0" w:rsidRDefault="00762DEE" w:rsidP="004258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004258B0"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004258B0" w:rsidRPr="007043DB">
        <w:rPr>
          <w:rFonts w:ascii="Arial" w:eastAsia="MS Mincho" w:hAnsi="Arial" w:cs="Arial"/>
          <w:b/>
          <w:bCs/>
          <w:sz w:val="28"/>
          <w:vertAlign w:val="superscript"/>
          <w:lang w:eastAsia="ja-JP"/>
        </w:rPr>
        <w:t>th</w:t>
      </w:r>
      <w:r w:rsidR="004258B0">
        <w:rPr>
          <w:rFonts w:ascii="Arial" w:eastAsia="MS Mincho" w:hAnsi="Arial" w:cs="Arial"/>
          <w:b/>
          <w:bCs/>
          <w:sz w:val="28"/>
          <w:lang w:eastAsia="ja-JP"/>
        </w:rPr>
        <w:t xml:space="preserve">, 2018 </w:t>
      </w:r>
    </w:p>
    <w:p w14:paraId="65547813" w14:textId="77777777" w:rsidR="004258B0" w:rsidRDefault="004258B0" w:rsidP="006C56E9">
      <w:pPr>
        <w:pStyle w:val="Heading2"/>
        <w:numPr>
          <w:ilvl w:val="0"/>
          <w:numId w:val="0"/>
        </w:numPr>
        <w:rPr>
          <w:b/>
          <w:lang w:val="en-US"/>
        </w:rPr>
      </w:pPr>
    </w:p>
    <w:p w14:paraId="7DEDA090" w14:textId="238E9443"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0A99">
        <w:t>2.</w:t>
      </w:r>
      <w:r w:rsidR="00415A8F">
        <w:t>6.</w:t>
      </w:r>
      <w:r w:rsidR="00426E58">
        <w:t>1.</w:t>
      </w:r>
      <w:r w:rsidR="00C04FD5">
        <w:t>1</w:t>
      </w:r>
    </w:p>
    <w:p w14:paraId="2035AF6C" w14:textId="77777777"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14:paraId="4697867E" w14:textId="1E08AF6D"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BD1779">
        <w:rPr>
          <w:rFonts w:ascii="Arial" w:hAnsi="Arial"/>
          <w:sz w:val="28"/>
          <w:szCs w:val="28"/>
        </w:rPr>
        <w:t>On Potential Enhancements to PDCCH for URLLC</w:t>
      </w:r>
    </w:p>
    <w:p w14:paraId="3E0F7BD2" w14:textId="77777777"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14:paraId="730DFE47" w14:textId="77777777" w:rsidR="001D7377" w:rsidRPr="00183CB7" w:rsidRDefault="001D7377" w:rsidP="001D7377">
      <w:pPr>
        <w:pStyle w:val="Heading1"/>
      </w:pPr>
      <w:r w:rsidRPr="00183CB7">
        <w:t>Introduction</w:t>
      </w:r>
    </w:p>
    <w:p w14:paraId="053FB03D" w14:textId="14DE964E" w:rsidR="00490F34" w:rsidRPr="00CE23DC" w:rsidRDefault="008C7323" w:rsidP="009742D3">
      <w:pPr>
        <w:pStyle w:val="maintext"/>
        <w:ind w:firstLineChars="0" w:firstLine="0"/>
        <w:rPr>
          <w:rFonts w:cs="Times New Roman"/>
          <w:sz w:val="32"/>
          <w:szCs w:val="24"/>
        </w:rPr>
      </w:pPr>
      <w:r w:rsidRPr="00511B6D">
        <w:rPr>
          <w:rFonts w:cs="Times New Roman"/>
          <w:sz w:val="24"/>
          <w:szCs w:val="24"/>
        </w:rPr>
        <w:t>I</w:t>
      </w:r>
      <w:r w:rsidR="001D7377" w:rsidRPr="00511B6D">
        <w:rPr>
          <w:rFonts w:cs="Times New Roman"/>
          <w:sz w:val="24"/>
          <w:szCs w:val="24"/>
        </w:rPr>
        <w:t>n RAN</w:t>
      </w:r>
      <w:r w:rsidR="009E2FBA" w:rsidRPr="00511B6D">
        <w:rPr>
          <w:rFonts w:cs="Times New Roman"/>
          <w:sz w:val="24"/>
          <w:szCs w:val="24"/>
        </w:rPr>
        <w:t xml:space="preserve"> #80</w:t>
      </w:r>
      <w:r w:rsidRPr="00511B6D">
        <w:rPr>
          <w:rFonts w:cs="Times New Roman"/>
          <w:sz w:val="24"/>
          <w:szCs w:val="24"/>
        </w:rPr>
        <w:t xml:space="preserve">, a new study item </w:t>
      </w:r>
      <w:r w:rsidR="009E2FBA" w:rsidRPr="00511B6D">
        <w:rPr>
          <w:rFonts w:cs="Times New Roman"/>
          <w:sz w:val="24"/>
          <w:szCs w:val="24"/>
        </w:rPr>
        <w:t>on Physical layer enhancements for NR</w:t>
      </w:r>
      <w:r w:rsidRPr="00511B6D">
        <w:rPr>
          <w:rFonts w:cs="Times New Roman"/>
          <w:sz w:val="24"/>
          <w:szCs w:val="24"/>
        </w:rPr>
        <w:t xml:space="preserve"> </w:t>
      </w:r>
      <w:r w:rsidR="009E2FBA" w:rsidRPr="00511B6D">
        <w:rPr>
          <w:rFonts w:cs="Times New Roman"/>
          <w:sz w:val="24"/>
          <w:szCs w:val="24"/>
        </w:rPr>
        <w:t xml:space="preserve">URLLC </w:t>
      </w:r>
      <w:r w:rsidRPr="00511B6D">
        <w:rPr>
          <w:rFonts w:cs="Times New Roman"/>
          <w:sz w:val="24"/>
          <w:szCs w:val="24"/>
        </w:rPr>
        <w:t xml:space="preserve">was approved. </w:t>
      </w:r>
      <w:r w:rsidR="00153580" w:rsidRPr="00511B6D">
        <w:rPr>
          <w:rFonts w:cs="Times New Roman"/>
          <w:sz w:val="24"/>
          <w:szCs w:val="24"/>
        </w:rPr>
        <w:t xml:space="preserve"> </w:t>
      </w:r>
      <w:bookmarkStart w:id="1" w:name="_Ref378529477"/>
      <w:r w:rsidR="00511B6D" w:rsidRPr="00511B6D">
        <w:rPr>
          <w:rFonts w:cs="Times New Roman"/>
          <w:sz w:val="24"/>
          <w:szCs w:val="24"/>
        </w:rPr>
        <w:t>The objective of the study item is to investigate different URLLC L1 improvements to further impr</w:t>
      </w:r>
      <w:r w:rsidR="009742D3">
        <w:rPr>
          <w:rFonts w:cs="Times New Roman"/>
          <w:sz w:val="24"/>
          <w:szCs w:val="24"/>
        </w:rPr>
        <w:t xml:space="preserve">ove reliability/latency. </w:t>
      </w:r>
      <w:r w:rsidR="00DE1077">
        <w:rPr>
          <w:rFonts w:cs="Times New Roman"/>
          <w:sz w:val="24"/>
          <w:lang w:eastAsia="x-none"/>
        </w:rPr>
        <w:t xml:space="preserve">In the </w:t>
      </w:r>
      <w:r w:rsidR="009742D3" w:rsidRPr="00CE23DC">
        <w:rPr>
          <w:rFonts w:cs="Times New Roman"/>
          <w:sz w:val="24"/>
          <w:lang w:eastAsia="x-none"/>
        </w:rPr>
        <w:t>RAN1</w:t>
      </w:r>
      <w:r w:rsidR="00DE1077">
        <w:rPr>
          <w:rFonts w:cs="Times New Roman"/>
          <w:sz w:val="24"/>
          <w:lang w:eastAsia="x-none"/>
        </w:rPr>
        <w:t>#94</w:t>
      </w:r>
      <w:r w:rsidR="009742D3" w:rsidRPr="00CE23DC">
        <w:rPr>
          <w:rFonts w:cs="Times New Roman"/>
          <w:sz w:val="24"/>
          <w:lang w:eastAsia="x-none"/>
        </w:rPr>
        <w:t xml:space="preserve"> meeting, the following agreements were made.</w:t>
      </w:r>
    </w:p>
    <w:p w14:paraId="36FEA5B0" w14:textId="77777777" w:rsidR="009742D3" w:rsidRPr="00CE23DC" w:rsidRDefault="009742D3" w:rsidP="009742D3">
      <w:pPr>
        <w:ind w:left="720" w:hanging="720"/>
        <w:rPr>
          <w:sz w:val="24"/>
          <w:lang w:eastAsia="x-none"/>
        </w:rPr>
      </w:pPr>
      <w:r w:rsidRPr="00CE23DC">
        <w:rPr>
          <w:sz w:val="24"/>
          <w:highlight w:val="green"/>
          <w:lang w:eastAsia="x-none"/>
        </w:rPr>
        <w:t>Agreements</w:t>
      </w:r>
      <w:r w:rsidRPr="00CE23DC">
        <w:rPr>
          <w:sz w:val="24"/>
          <w:lang w:eastAsia="x-none"/>
        </w:rPr>
        <w:t>:</w:t>
      </w:r>
    </w:p>
    <w:p w14:paraId="62272468" w14:textId="77777777" w:rsidR="009742D3" w:rsidRPr="00CE23DC" w:rsidRDefault="009742D3" w:rsidP="009742D3">
      <w:pPr>
        <w:widowControl w:val="0"/>
        <w:ind w:left="720" w:hanging="720"/>
        <w:rPr>
          <w:b/>
          <w:kern w:val="2"/>
          <w:sz w:val="24"/>
          <w:lang w:eastAsia="zh-CN"/>
        </w:rPr>
      </w:pPr>
      <w:r w:rsidRPr="00CE23DC">
        <w:rPr>
          <w:kern w:val="2"/>
          <w:sz w:val="24"/>
          <w:lang w:eastAsia="zh-CN"/>
        </w:rPr>
        <w:t>Further evaluate the potential PDCCH enhancements for NR Rel-16 URLLC.</w:t>
      </w:r>
    </w:p>
    <w:p w14:paraId="12AC90F6"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reliability </w:t>
      </w:r>
    </w:p>
    <w:p w14:paraId="0141E56B"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 xml:space="preserve">Further evaluate PDCCH blocking </w:t>
      </w:r>
    </w:p>
    <w:p w14:paraId="580AE840" w14:textId="77777777" w:rsidR="009742D3" w:rsidRPr="00CE23DC" w:rsidRDefault="009742D3" w:rsidP="009742D3">
      <w:pPr>
        <w:numPr>
          <w:ilvl w:val="1"/>
          <w:numId w:val="44"/>
        </w:numPr>
        <w:overflowPunct/>
        <w:snapToGrid w:val="0"/>
        <w:spacing w:after="0"/>
        <w:contextualSpacing/>
        <w:jc w:val="both"/>
        <w:textAlignment w:val="auto"/>
        <w:rPr>
          <w:sz w:val="24"/>
          <w:lang w:eastAsia="x-none"/>
        </w:rPr>
      </w:pPr>
      <w:r w:rsidRPr="00CE23DC">
        <w:rPr>
          <w:kern w:val="2"/>
          <w:sz w:val="24"/>
          <w:lang w:eastAsia="zh-CN"/>
        </w:rPr>
        <w:t xml:space="preserve">Companies describe the resource utilization </w:t>
      </w:r>
    </w:p>
    <w:p w14:paraId="357CC9CD"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Complexity should be considered</w:t>
      </w:r>
    </w:p>
    <w:p w14:paraId="0F5687A8" w14:textId="77777777" w:rsidR="009742D3" w:rsidRPr="00CE23DC" w:rsidRDefault="009742D3" w:rsidP="009742D3">
      <w:pPr>
        <w:numPr>
          <w:ilvl w:val="0"/>
          <w:numId w:val="44"/>
        </w:numPr>
        <w:overflowPunct/>
        <w:snapToGrid w:val="0"/>
        <w:spacing w:after="0"/>
        <w:contextualSpacing/>
        <w:jc w:val="both"/>
        <w:textAlignment w:val="auto"/>
        <w:rPr>
          <w:sz w:val="24"/>
          <w:lang w:eastAsia="x-none"/>
        </w:rPr>
      </w:pPr>
      <w:r w:rsidRPr="00CE23DC">
        <w:rPr>
          <w:kern w:val="2"/>
          <w:sz w:val="24"/>
          <w:lang w:eastAsia="zh-CN"/>
        </w:rPr>
        <w:t>Latency of the enhancement(s) should be considered</w:t>
      </w:r>
    </w:p>
    <w:p w14:paraId="059EE4C4" w14:textId="77777777" w:rsidR="009742D3" w:rsidRPr="00CE23DC" w:rsidRDefault="009742D3" w:rsidP="009742D3">
      <w:pPr>
        <w:ind w:left="720" w:hanging="720"/>
        <w:rPr>
          <w:kern w:val="2"/>
          <w:sz w:val="24"/>
          <w:lang w:eastAsia="zh-CN"/>
        </w:rPr>
      </w:pPr>
    </w:p>
    <w:p w14:paraId="3BBAF78A"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w:t>
      </w:r>
      <w:r w:rsidRPr="00CE23DC">
        <w:rPr>
          <w:b/>
          <w:kern w:val="2"/>
          <w:sz w:val="24"/>
          <w:lang w:eastAsia="zh-CN"/>
        </w:rPr>
        <w:t>:</w:t>
      </w:r>
      <w:r w:rsidRPr="00CE23DC">
        <w:rPr>
          <w:kern w:val="2"/>
          <w:sz w:val="24"/>
          <w:lang w:eastAsia="zh-CN"/>
        </w:rPr>
        <w:t xml:space="preserve"> </w:t>
      </w:r>
    </w:p>
    <w:p w14:paraId="0EB735CA" w14:textId="77777777" w:rsidR="009742D3" w:rsidRPr="00CE23DC" w:rsidRDefault="009742D3" w:rsidP="009742D3">
      <w:pPr>
        <w:widowControl w:val="0"/>
        <w:numPr>
          <w:ilvl w:val="0"/>
          <w:numId w:val="44"/>
        </w:numPr>
        <w:overflowPunct/>
        <w:autoSpaceDE/>
        <w:autoSpaceDN/>
        <w:adjustRightInd/>
        <w:spacing w:after="0"/>
        <w:textAlignment w:val="auto"/>
        <w:rPr>
          <w:sz w:val="24"/>
          <w:lang w:eastAsia="zh-CN"/>
        </w:rPr>
      </w:pPr>
      <w:r w:rsidRPr="00CE23DC">
        <w:rPr>
          <w:sz w:val="24"/>
          <w:lang w:eastAsia="zh-CN"/>
        </w:rPr>
        <w:t>Study further how to enable more than one PUCCH for HARQ-ACK transmission within a slot.</w:t>
      </w:r>
    </w:p>
    <w:p w14:paraId="259732E4" w14:textId="77777777" w:rsidR="009742D3" w:rsidRPr="00CE23DC" w:rsidRDefault="009742D3" w:rsidP="009742D3">
      <w:pPr>
        <w:widowControl w:val="0"/>
        <w:ind w:left="720" w:hanging="720"/>
        <w:rPr>
          <w:b/>
          <w:i/>
          <w:sz w:val="24"/>
          <w:lang w:eastAsia="zh-CN"/>
        </w:rPr>
      </w:pPr>
    </w:p>
    <w:p w14:paraId="34882A9F"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 xml:space="preserve">: </w:t>
      </w:r>
    </w:p>
    <w:p w14:paraId="66D7EEC6" w14:textId="77777777" w:rsidR="009742D3" w:rsidRPr="00CE23DC" w:rsidRDefault="009742D3" w:rsidP="009742D3">
      <w:pPr>
        <w:widowControl w:val="0"/>
        <w:ind w:left="720" w:hanging="720"/>
        <w:rPr>
          <w:sz w:val="24"/>
          <w:lang w:eastAsia="zh-CN"/>
        </w:rPr>
      </w:pPr>
      <w:r w:rsidRPr="00CE23DC">
        <w:rPr>
          <w:sz w:val="24"/>
          <w:lang w:eastAsia="zh-CN"/>
        </w:rPr>
        <w:t>Study further whether/how to enable enhanced reporting procedure/feedback for HARQ-ACK.</w:t>
      </w:r>
    </w:p>
    <w:p w14:paraId="04F01A0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HARQ-ACK multiplexing on PUSCH and PUCCH</w:t>
      </w:r>
    </w:p>
    <w:p w14:paraId="0A23D1FF"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Finer indication for HARQ feedback timing, e.g. symbol-level, half-slot, etc.</w:t>
      </w:r>
    </w:p>
    <w:p w14:paraId="1B3BC761" w14:textId="77777777" w:rsidR="009742D3" w:rsidRPr="00CE23DC" w:rsidRDefault="009742D3" w:rsidP="009742D3">
      <w:pPr>
        <w:numPr>
          <w:ilvl w:val="1"/>
          <w:numId w:val="44"/>
        </w:numPr>
        <w:overflowPunct/>
        <w:snapToGrid w:val="0"/>
        <w:spacing w:after="0"/>
        <w:contextualSpacing/>
        <w:jc w:val="both"/>
        <w:textAlignment w:val="auto"/>
        <w:rPr>
          <w:sz w:val="24"/>
          <w:lang w:eastAsia="zh-CN"/>
        </w:rPr>
      </w:pPr>
      <w:r w:rsidRPr="00CE23DC">
        <w:rPr>
          <w:sz w:val="24"/>
          <w:lang w:eastAsia="zh-CN"/>
        </w:rPr>
        <w:t>Note: this may be related to more than one PUCCH for HARQ-ACK tx within a slot</w:t>
      </w:r>
    </w:p>
    <w:p w14:paraId="5F5CA05D"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enablers are not precluded</w:t>
      </w:r>
    </w:p>
    <w:p w14:paraId="7F80FE9A" w14:textId="77777777" w:rsidR="009742D3" w:rsidRPr="00CE23DC" w:rsidRDefault="009742D3" w:rsidP="009742D3">
      <w:pPr>
        <w:ind w:left="720" w:hanging="720"/>
        <w:rPr>
          <w:kern w:val="2"/>
          <w:sz w:val="24"/>
          <w:lang w:eastAsia="zh-CN"/>
        </w:rPr>
      </w:pPr>
    </w:p>
    <w:p w14:paraId="12B44C97" w14:textId="77777777" w:rsidR="009742D3" w:rsidRPr="00CE23DC" w:rsidRDefault="009742D3" w:rsidP="009742D3">
      <w:pPr>
        <w:widowControl w:val="0"/>
        <w:ind w:left="720" w:hanging="720"/>
        <w:rPr>
          <w:kern w:val="2"/>
          <w:sz w:val="24"/>
          <w:lang w:eastAsia="zh-CN"/>
        </w:rPr>
      </w:pPr>
      <w:r w:rsidRPr="00CE23DC">
        <w:rPr>
          <w:kern w:val="2"/>
          <w:sz w:val="24"/>
          <w:highlight w:val="green"/>
          <w:lang w:eastAsia="zh-CN"/>
        </w:rPr>
        <w:t>Agreements</w:t>
      </w:r>
      <w:r w:rsidRPr="00CE23DC">
        <w:rPr>
          <w:kern w:val="2"/>
          <w:sz w:val="24"/>
          <w:lang w:eastAsia="zh-CN"/>
        </w:rPr>
        <w:t>:</w:t>
      </w:r>
    </w:p>
    <w:p w14:paraId="29EAED09" w14:textId="77777777" w:rsidR="009742D3" w:rsidRPr="00CE23DC" w:rsidRDefault="009742D3" w:rsidP="009742D3">
      <w:pPr>
        <w:widowControl w:val="0"/>
        <w:ind w:left="720" w:hanging="720"/>
        <w:rPr>
          <w:kern w:val="2"/>
          <w:sz w:val="24"/>
          <w:lang w:eastAsia="zh-CN"/>
        </w:rPr>
      </w:pPr>
      <w:r w:rsidRPr="00CE23DC">
        <w:rPr>
          <w:kern w:val="2"/>
          <w:sz w:val="24"/>
          <w:lang w:eastAsia="zh-CN"/>
        </w:rPr>
        <w:t xml:space="preserve">Study the need for enhanced CSI reporting/measurement mechanisms. E.g.,  </w:t>
      </w:r>
    </w:p>
    <w:p w14:paraId="3494443E"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DMRS based CSI</w:t>
      </w:r>
    </w:p>
    <w:p w14:paraId="370ACD6C"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lastRenderedPageBreak/>
        <w:t>A-CSI on PUCCH</w:t>
      </w:r>
    </w:p>
    <w:p w14:paraId="34778C57"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Trigger by DL assignment</w:t>
      </w:r>
    </w:p>
    <w:p w14:paraId="694FB2DB"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Enhanced CSI reporting mode</w:t>
      </w:r>
    </w:p>
    <w:p w14:paraId="318D5FD0" w14:textId="77777777" w:rsidR="009742D3" w:rsidRPr="00CE23DC" w:rsidRDefault="009742D3" w:rsidP="009742D3">
      <w:pPr>
        <w:numPr>
          <w:ilvl w:val="0"/>
          <w:numId w:val="44"/>
        </w:numPr>
        <w:overflowPunct/>
        <w:snapToGrid w:val="0"/>
        <w:spacing w:after="0"/>
        <w:contextualSpacing/>
        <w:jc w:val="both"/>
        <w:textAlignment w:val="auto"/>
        <w:rPr>
          <w:sz w:val="24"/>
          <w:lang w:eastAsia="zh-CN"/>
        </w:rPr>
      </w:pPr>
      <w:r w:rsidRPr="00CE23DC">
        <w:rPr>
          <w:sz w:val="24"/>
          <w:lang w:eastAsia="zh-CN"/>
        </w:rPr>
        <w:t>Other approaches are not precluded</w:t>
      </w:r>
    </w:p>
    <w:p w14:paraId="4C0A0214" w14:textId="77777777" w:rsidR="009742D3" w:rsidRDefault="009742D3" w:rsidP="00511B6D">
      <w:pPr>
        <w:jc w:val="both"/>
        <w:rPr>
          <w:rFonts w:asciiTheme="minorHAnsi" w:hAnsiTheme="minorHAnsi"/>
          <w:lang w:eastAsia="x-none"/>
        </w:rPr>
      </w:pPr>
    </w:p>
    <w:p w14:paraId="7758D053" w14:textId="75FE8E60" w:rsidR="00490F34" w:rsidRPr="00490F34" w:rsidRDefault="00490F34" w:rsidP="00490F34">
      <w:pPr>
        <w:overflowPunct/>
        <w:autoSpaceDE/>
        <w:autoSpaceDN/>
        <w:adjustRightInd/>
        <w:contextualSpacing/>
        <w:textAlignment w:val="auto"/>
        <w:rPr>
          <w:sz w:val="24"/>
          <w:lang w:eastAsia="x-none"/>
        </w:rPr>
      </w:pPr>
      <w:r w:rsidRPr="00490F34">
        <w:rPr>
          <w:sz w:val="24"/>
          <w:lang w:eastAsia="x-none"/>
        </w:rPr>
        <w:t xml:space="preserve">In this contribution, we </w:t>
      </w:r>
      <w:r w:rsidR="00285994">
        <w:rPr>
          <w:sz w:val="24"/>
          <w:lang w:eastAsia="x-none"/>
        </w:rPr>
        <w:t>p</w:t>
      </w:r>
      <w:r w:rsidR="00496C62">
        <w:rPr>
          <w:sz w:val="24"/>
          <w:lang w:eastAsia="x-none"/>
        </w:rPr>
        <w:t>rovide detailed analysis of PDCCH enhancements for NR URLLC.</w:t>
      </w:r>
      <w:bookmarkStart w:id="2" w:name="_GoBack"/>
      <w:bookmarkEnd w:id="2"/>
    </w:p>
    <w:p w14:paraId="253CFAE3" w14:textId="48D368BC" w:rsidR="00822CF7" w:rsidRDefault="00D75064" w:rsidP="00822CF7">
      <w:pPr>
        <w:pStyle w:val="Heading1"/>
        <w:rPr>
          <w:lang w:val="en-US"/>
        </w:rPr>
      </w:pPr>
      <w:r>
        <w:rPr>
          <w:lang w:val="en-US"/>
        </w:rPr>
        <w:t xml:space="preserve">Motivation for PDCCH Enhancements </w:t>
      </w:r>
      <w:r w:rsidR="000A3E5E">
        <w:rPr>
          <w:lang w:val="en-US"/>
        </w:rPr>
        <w:t>for NR URLLC</w:t>
      </w:r>
    </w:p>
    <w:p w14:paraId="218F7B3C" w14:textId="37DF730C" w:rsidR="00B35E78" w:rsidRDefault="00B35E78" w:rsidP="00B35E78">
      <w:pPr>
        <w:contextualSpacing/>
        <w:jc w:val="both"/>
        <w:rPr>
          <w:sz w:val="24"/>
        </w:rPr>
      </w:pPr>
      <w:r>
        <w:rPr>
          <w:sz w:val="24"/>
        </w:rPr>
        <w:t>In this section we provide mathematical analysis for PDCCH reliability.</w:t>
      </w:r>
      <w:r w:rsidR="005C6587">
        <w:rPr>
          <w:sz w:val="24"/>
        </w:rPr>
        <w:t xml:space="preserve"> </w:t>
      </w:r>
      <w:r>
        <w:rPr>
          <w:sz w:val="24"/>
        </w:rPr>
        <w:t>Let  P</w:t>
      </w:r>
      <w:r w:rsidRPr="00A8361B">
        <w:rPr>
          <w:sz w:val="24"/>
          <w:vertAlign w:val="subscript"/>
        </w:rPr>
        <w:t>R</w:t>
      </w:r>
      <w:r>
        <w:rPr>
          <w:sz w:val="24"/>
        </w:rPr>
        <w:t xml:space="preserve"> is the reliability or the probability  of correct reception of the NR URLLC packet at the application layer. Then for downlink packets transmission, the P</w:t>
      </w:r>
      <w:r w:rsidRPr="00A8361B">
        <w:rPr>
          <w:sz w:val="24"/>
          <w:vertAlign w:val="subscript"/>
        </w:rPr>
        <w:t>R</w:t>
      </w:r>
      <w:r>
        <w:rPr>
          <w:sz w:val="24"/>
        </w:rPr>
        <w:t xml:space="preserve"> depends on </w:t>
      </w:r>
    </w:p>
    <w:p w14:paraId="187778DA"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downlink control channel</w:t>
      </w:r>
    </w:p>
    <w:p w14:paraId="3A6404AF"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 xml:space="preserve">Probability of correct reception of PDSCH </w:t>
      </w:r>
    </w:p>
    <w:p w14:paraId="2A147DF9" w14:textId="77777777" w:rsidR="00B35E78" w:rsidRPr="00C37F37" w:rsidRDefault="00B35E78" w:rsidP="00B35E78">
      <w:pPr>
        <w:pStyle w:val="ListParagraph"/>
        <w:numPr>
          <w:ilvl w:val="0"/>
          <w:numId w:val="45"/>
        </w:numPr>
        <w:contextualSpacing/>
        <w:jc w:val="both"/>
        <w:rPr>
          <w:rFonts w:ascii="Times New Roman" w:hAnsi="Times New Roman"/>
          <w:sz w:val="24"/>
        </w:rPr>
      </w:pPr>
      <w:r w:rsidRPr="00C37F37">
        <w:rPr>
          <w:rFonts w:ascii="Times New Roman" w:hAnsi="Times New Roman"/>
          <w:sz w:val="24"/>
        </w:rPr>
        <w:t>Probability of correct reception of HARQ-ACK</w:t>
      </w:r>
    </w:p>
    <w:p w14:paraId="6F318F79" w14:textId="77777777" w:rsidR="00B35E78" w:rsidRDefault="00B35E78" w:rsidP="00B35E78">
      <w:pPr>
        <w:contextualSpacing/>
        <w:jc w:val="both"/>
        <w:rPr>
          <w:sz w:val="24"/>
        </w:rPr>
      </w:pPr>
    </w:p>
    <w:p w14:paraId="5B5A02E0" w14:textId="77777777" w:rsidR="00B35E78" w:rsidRDefault="00B35E78" w:rsidP="00B35E78">
      <w:pPr>
        <w:contextualSpacing/>
        <w:jc w:val="both"/>
        <w:rPr>
          <w:sz w:val="24"/>
        </w:rPr>
      </w:pPr>
      <w:r>
        <w:rPr>
          <w:sz w:val="24"/>
        </w:rPr>
        <w:t>Since these three events are independent dent from the network point of view, the ioint probability of correct reception at the application layer is given by</w:t>
      </w:r>
    </w:p>
    <w:p w14:paraId="272D3733" w14:textId="77777777" w:rsidR="00B35E78" w:rsidRDefault="00B35E78" w:rsidP="00B35E78">
      <w:pPr>
        <w:contextualSpacing/>
        <w:jc w:val="both"/>
        <w:rPr>
          <w:sz w:val="24"/>
        </w:rPr>
      </w:pPr>
    </w:p>
    <w:p w14:paraId="0CAB619E" w14:textId="77777777" w:rsidR="00B35E78" w:rsidRDefault="00B35E78" w:rsidP="00B35E78">
      <w:pPr>
        <w:contextualSpacing/>
        <w:jc w:val="both"/>
        <w:rPr>
          <w:sz w:val="24"/>
        </w:rPr>
      </w:pPr>
    </w:p>
    <w:p w14:paraId="25CCA5D2" w14:textId="77777777" w:rsidR="00B35E78" w:rsidRDefault="00B35E78" w:rsidP="00B35E78">
      <w:pPr>
        <w:contextualSpacing/>
        <w:jc w:val="both"/>
        <w:rPr>
          <w:sz w:val="24"/>
        </w:rPr>
      </w:pPr>
      <w:r w:rsidRPr="00A8361B">
        <w:rPr>
          <w:noProof/>
          <w:sz w:val="24"/>
        </w:rPr>
        <w:drawing>
          <wp:inline distT="0" distB="0" distL="0" distR="0" wp14:anchorId="62C4AC45" wp14:editId="2E11CC74">
            <wp:extent cx="4213733" cy="29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7298" cy="292983"/>
                    </a:xfrm>
                    <a:prstGeom prst="rect">
                      <a:avLst/>
                    </a:prstGeom>
                    <a:noFill/>
                    <a:ln>
                      <a:noFill/>
                    </a:ln>
                  </pic:spPr>
                </pic:pic>
              </a:graphicData>
            </a:graphic>
          </wp:inline>
        </w:drawing>
      </w:r>
    </w:p>
    <w:p w14:paraId="37021E57" w14:textId="77777777" w:rsidR="00B35E78" w:rsidRDefault="00B35E78" w:rsidP="00B35E78">
      <w:pPr>
        <w:contextualSpacing/>
        <w:jc w:val="both"/>
        <w:rPr>
          <w:sz w:val="24"/>
        </w:rPr>
      </w:pPr>
    </w:p>
    <w:p w14:paraId="6752BA28" w14:textId="77777777" w:rsidR="00B35E78" w:rsidRDefault="00B35E78" w:rsidP="00B35E78">
      <w:pPr>
        <w:contextualSpacing/>
        <w:jc w:val="both"/>
        <w:rPr>
          <w:sz w:val="24"/>
        </w:rPr>
      </w:pPr>
      <w:r>
        <w:rPr>
          <w:sz w:val="24"/>
        </w:rPr>
        <w:t>Where P</w:t>
      </w:r>
      <w:r w:rsidRPr="008874A3">
        <w:rPr>
          <w:sz w:val="24"/>
          <w:vertAlign w:val="subscript"/>
        </w:rPr>
        <w:t>dci</w:t>
      </w:r>
      <w:r>
        <w:rPr>
          <w:sz w:val="24"/>
        </w:rPr>
        <w:t xml:space="preserve"> is the probability of error for DCI, P</w:t>
      </w:r>
      <w:r w:rsidRPr="008874A3">
        <w:rPr>
          <w:sz w:val="24"/>
          <w:vertAlign w:val="subscript"/>
        </w:rPr>
        <w:t>pdsch</w:t>
      </w:r>
      <w:r>
        <w:rPr>
          <w:sz w:val="24"/>
        </w:rPr>
        <w:t xml:space="preserve"> is the probability of transport block error for PDSCH and P</w:t>
      </w:r>
      <w:r w:rsidRPr="008874A3">
        <w:rPr>
          <w:sz w:val="24"/>
          <w:vertAlign w:val="subscript"/>
        </w:rPr>
        <w:t xml:space="preserve">HARQ-ACK </w:t>
      </w:r>
      <w:r>
        <w:rPr>
          <w:sz w:val="24"/>
        </w:rPr>
        <w:t xml:space="preserve">is the probability of error for HARQ-ACK </w:t>
      </w:r>
    </w:p>
    <w:p w14:paraId="6BBC8677" w14:textId="77777777" w:rsidR="00B35E78" w:rsidRDefault="00B35E78" w:rsidP="00B35E78">
      <w:pPr>
        <w:contextualSpacing/>
        <w:jc w:val="both"/>
        <w:rPr>
          <w:sz w:val="24"/>
          <w:vertAlign w:val="subscript"/>
        </w:rPr>
      </w:pPr>
      <w:r>
        <w:rPr>
          <w:sz w:val="24"/>
        </w:rPr>
        <w:t>Since we are interested in the probability of error for downlink control channel P</w:t>
      </w:r>
      <w:r w:rsidRPr="008874A3">
        <w:rPr>
          <w:sz w:val="24"/>
          <w:vertAlign w:val="subscript"/>
        </w:rPr>
        <w:t>dci</w:t>
      </w:r>
      <w:r>
        <w:rPr>
          <w:sz w:val="24"/>
          <w:vertAlign w:val="subscript"/>
        </w:rPr>
        <w:t xml:space="preserve">   </w:t>
      </w:r>
    </w:p>
    <w:p w14:paraId="3A7F7FB0" w14:textId="77777777" w:rsidR="00B35E78" w:rsidRDefault="00B35E78" w:rsidP="00B35E78">
      <w:pPr>
        <w:contextualSpacing/>
        <w:jc w:val="both"/>
        <w:rPr>
          <w:sz w:val="24"/>
          <w:vertAlign w:val="subscript"/>
        </w:rPr>
      </w:pPr>
      <w:r w:rsidRPr="008874A3">
        <w:rPr>
          <w:noProof/>
          <w:sz w:val="24"/>
          <w:vertAlign w:val="subscript"/>
        </w:rPr>
        <w:drawing>
          <wp:inline distT="0" distB="0" distL="0" distR="0" wp14:anchorId="7BDD3B81" wp14:editId="7140BAFF">
            <wp:extent cx="4564380" cy="63627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4380" cy="636270"/>
                    </a:xfrm>
                    <a:prstGeom prst="rect">
                      <a:avLst/>
                    </a:prstGeom>
                    <a:noFill/>
                    <a:ln>
                      <a:noFill/>
                    </a:ln>
                  </pic:spPr>
                </pic:pic>
              </a:graphicData>
            </a:graphic>
          </wp:inline>
        </w:drawing>
      </w:r>
    </w:p>
    <w:p w14:paraId="48525189" w14:textId="77777777" w:rsidR="00B35E78" w:rsidRDefault="00B35E78" w:rsidP="00B35E78">
      <w:pPr>
        <w:contextualSpacing/>
        <w:jc w:val="both"/>
        <w:rPr>
          <w:sz w:val="24"/>
        </w:rPr>
      </w:pPr>
    </w:p>
    <w:p w14:paraId="190EE35E" w14:textId="77777777" w:rsidR="00B35E78" w:rsidRDefault="00B35E78" w:rsidP="00B35E78">
      <w:pPr>
        <w:contextualSpacing/>
        <w:jc w:val="both"/>
        <w:rPr>
          <w:sz w:val="24"/>
        </w:rPr>
      </w:pPr>
      <w:r>
        <w:rPr>
          <w:sz w:val="24"/>
        </w:rPr>
        <w:t>Since P</w:t>
      </w:r>
      <w:r w:rsidRPr="002B7E73">
        <w:rPr>
          <w:sz w:val="24"/>
          <w:vertAlign w:val="subscript"/>
        </w:rPr>
        <w:t>dci</w:t>
      </w:r>
      <w:r>
        <w:rPr>
          <w:sz w:val="24"/>
        </w:rPr>
        <w:t xml:space="preserve"> is the probability and can’t be greater than unity, from the above equation we can conclude that</w:t>
      </w:r>
    </w:p>
    <w:p w14:paraId="6B354485" w14:textId="77777777" w:rsidR="00B35E78" w:rsidRDefault="00B35E78" w:rsidP="00B35E78">
      <w:pPr>
        <w:contextualSpacing/>
        <w:jc w:val="both"/>
        <w:rPr>
          <w:sz w:val="24"/>
        </w:rPr>
      </w:pPr>
    </w:p>
    <w:p w14:paraId="75928512" w14:textId="77777777" w:rsidR="00B35E78" w:rsidRDefault="00B35E78" w:rsidP="00B35E78">
      <w:pPr>
        <w:contextualSpacing/>
        <w:jc w:val="both"/>
        <w:rPr>
          <w:sz w:val="24"/>
        </w:rPr>
      </w:pPr>
    </w:p>
    <w:p w14:paraId="1107ECF7" w14:textId="77777777" w:rsidR="00B35E78" w:rsidRDefault="00B35E78" w:rsidP="00B35E78">
      <w:pPr>
        <w:contextualSpacing/>
        <w:jc w:val="both"/>
        <w:rPr>
          <w:sz w:val="24"/>
        </w:rPr>
      </w:pPr>
      <w:r>
        <w:rPr>
          <w:sz w:val="24"/>
        </w:rPr>
        <w:t xml:space="preserve">                  </w:t>
      </w:r>
      <w:r w:rsidRPr="00791A1C">
        <w:rPr>
          <w:noProof/>
          <w:sz w:val="24"/>
        </w:rPr>
        <w:drawing>
          <wp:inline distT="0" distB="0" distL="0" distR="0" wp14:anchorId="5B52C1A5" wp14:editId="10DBBE45">
            <wp:extent cx="3950335" cy="2927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0335" cy="292735"/>
                    </a:xfrm>
                    <a:prstGeom prst="rect">
                      <a:avLst/>
                    </a:prstGeom>
                    <a:noFill/>
                    <a:ln>
                      <a:noFill/>
                    </a:ln>
                  </pic:spPr>
                </pic:pic>
              </a:graphicData>
            </a:graphic>
          </wp:inline>
        </w:drawing>
      </w:r>
    </w:p>
    <w:p w14:paraId="781A8915" w14:textId="77777777" w:rsidR="00B35E78" w:rsidRDefault="00B35E78" w:rsidP="00B35E78">
      <w:pPr>
        <w:contextualSpacing/>
        <w:jc w:val="both"/>
        <w:rPr>
          <w:sz w:val="24"/>
        </w:rPr>
      </w:pPr>
    </w:p>
    <w:p w14:paraId="2D09E42A" w14:textId="77777777" w:rsidR="00B35E78" w:rsidRDefault="00B35E78" w:rsidP="00B35E78">
      <w:pPr>
        <w:contextualSpacing/>
        <w:jc w:val="both"/>
        <w:rPr>
          <w:sz w:val="24"/>
        </w:rPr>
      </w:pPr>
      <w:r>
        <w:rPr>
          <w:sz w:val="24"/>
        </w:rPr>
        <w:t>Similarly</w:t>
      </w:r>
    </w:p>
    <w:p w14:paraId="6F82EAB5" w14:textId="77777777" w:rsidR="00B35E78" w:rsidRDefault="00B35E78" w:rsidP="00B35E78">
      <w:pPr>
        <w:contextualSpacing/>
        <w:jc w:val="both"/>
        <w:rPr>
          <w:sz w:val="24"/>
        </w:rPr>
      </w:pPr>
    </w:p>
    <w:p w14:paraId="0C731E97" w14:textId="77777777" w:rsidR="00B35E78" w:rsidRPr="00791A1C" w:rsidRDefault="00B35E78" w:rsidP="00B35E78">
      <w:pPr>
        <w:contextualSpacing/>
        <w:jc w:val="both"/>
        <w:rPr>
          <w:sz w:val="24"/>
        </w:rPr>
      </w:pPr>
      <w:r>
        <w:rPr>
          <w:noProof/>
          <w:sz w:val="24"/>
        </w:rPr>
        <w:t xml:space="preserve">                                </w:t>
      </w:r>
      <w:r w:rsidRPr="009D0E9D">
        <w:rPr>
          <w:noProof/>
          <w:sz w:val="24"/>
        </w:rPr>
        <w:drawing>
          <wp:inline distT="0" distB="0" distL="0" distR="0" wp14:anchorId="591F230C" wp14:editId="1A90763A">
            <wp:extent cx="2999105" cy="2927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292735"/>
                    </a:xfrm>
                    <a:prstGeom prst="rect">
                      <a:avLst/>
                    </a:prstGeom>
                    <a:noFill/>
                    <a:ln>
                      <a:noFill/>
                    </a:ln>
                  </pic:spPr>
                </pic:pic>
              </a:graphicData>
            </a:graphic>
          </wp:inline>
        </w:drawing>
      </w:r>
    </w:p>
    <w:p w14:paraId="37692BA5" w14:textId="77777777" w:rsidR="00B35E78" w:rsidRDefault="00B35E78" w:rsidP="00B35E78">
      <w:pPr>
        <w:contextualSpacing/>
        <w:jc w:val="both"/>
        <w:rPr>
          <w:sz w:val="24"/>
        </w:rPr>
      </w:pPr>
    </w:p>
    <w:p w14:paraId="58BC39E6" w14:textId="77777777" w:rsidR="00B35E78" w:rsidRDefault="00B35E78" w:rsidP="00B35E78">
      <w:pPr>
        <w:contextualSpacing/>
        <w:jc w:val="both"/>
        <w:rPr>
          <w:sz w:val="24"/>
        </w:rPr>
      </w:pPr>
      <w:r>
        <w:rPr>
          <w:sz w:val="24"/>
        </w:rPr>
        <w:t>Hence to satisfy the above equation</w:t>
      </w:r>
    </w:p>
    <w:p w14:paraId="4806080B" w14:textId="77777777" w:rsidR="00B35E78" w:rsidRDefault="00B35E78" w:rsidP="00B35E78">
      <w:pPr>
        <w:contextualSpacing/>
        <w:jc w:val="both"/>
        <w:rPr>
          <w:sz w:val="24"/>
        </w:rPr>
      </w:pPr>
    </w:p>
    <w:p w14:paraId="2A6F5F85" w14:textId="77777777" w:rsidR="00B35E78" w:rsidRDefault="00B35E78" w:rsidP="00B35E78">
      <w:pPr>
        <w:contextualSpacing/>
        <w:jc w:val="both"/>
        <w:rPr>
          <w:sz w:val="24"/>
        </w:rPr>
      </w:pPr>
      <w:r>
        <w:rPr>
          <w:sz w:val="24"/>
        </w:rPr>
        <w:lastRenderedPageBreak/>
        <w:t xml:space="preserve">                                     </w:t>
      </w:r>
      <w:r w:rsidRPr="00487CD8">
        <w:rPr>
          <w:noProof/>
          <w:sz w:val="24"/>
        </w:rPr>
        <w:drawing>
          <wp:inline distT="0" distB="0" distL="0" distR="0" wp14:anchorId="33145401" wp14:editId="2DE78866">
            <wp:extent cx="2545715" cy="63627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45715" cy="636270"/>
                    </a:xfrm>
                    <a:prstGeom prst="rect">
                      <a:avLst/>
                    </a:prstGeom>
                    <a:noFill/>
                    <a:ln>
                      <a:noFill/>
                    </a:ln>
                  </pic:spPr>
                </pic:pic>
              </a:graphicData>
            </a:graphic>
          </wp:inline>
        </w:drawing>
      </w:r>
    </w:p>
    <w:p w14:paraId="0DB03CC6" w14:textId="77777777" w:rsidR="00B35E78" w:rsidRDefault="00B35E78" w:rsidP="00B35E78">
      <w:pPr>
        <w:contextualSpacing/>
        <w:jc w:val="both"/>
        <w:rPr>
          <w:sz w:val="24"/>
        </w:rPr>
      </w:pPr>
    </w:p>
    <w:p w14:paraId="3D182809" w14:textId="7828C3DB" w:rsidR="00B35E78" w:rsidRDefault="004E0FCF" w:rsidP="00B35E78">
      <w:pPr>
        <w:contextualSpacing/>
        <w:jc w:val="both"/>
        <w:rPr>
          <w:sz w:val="24"/>
          <w:vertAlign w:val="subscript"/>
        </w:rPr>
      </w:pPr>
      <w:r>
        <w:rPr>
          <w:sz w:val="24"/>
        </w:rPr>
        <w:t>Table 1</w:t>
      </w:r>
      <w:r w:rsidR="00B35E78">
        <w:rPr>
          <w:sz w:val="24"/>
        </w:rPr>
        <w:t xml:space="preserve"> shows the P</w:t>
      </w:r>
      <w:r w:rsidR="00B35E78" w:rsidRPr="002B7E73">
        <w:rPr>
          <w:sz w:val="24"/>
          <w:vertAlign w:val="subscript"/>
        </w:rPr>
        <w:t>dci</w:t>
      </w:r>
      <w:r w:rsidR="00B35E78">
        <w:rPr>
          <w:sz w:val="24"/>
          <w:vertAlign w:val="subscript"/>
        </w:rPr>
        <w:t xml:space="preserve">           </w:t>
      </w:r>
      <w:r w:rsidR="00B35E78">
        <w:rPr>
          <w:sz w:val="24"/>
        </w:rPr>
        <w:t xml:space="preserve">for a given Ppdsch. It can be observed that for a reasonable performance to meet the NR URLLC target requirements the PDCCH performance has to be enhanced significantly. </w:t>
      </w:r>
    </w:p>
    <w:p w14:paraId="77550524" w14:textId="77777777" w:rsidR="00A8361B" w:rsidRDefault="00A8361B" w:rsidP="00214BB7">
      <w:pPr>
        <w:contextualSpacing/>
        <w:jc w:val="both"/>
        <w:rPr>
          <w:sz w:val="24"/>
        </w:rPr>
      </w:pPr>
    </w:p>
    <w:p w14:paraId="323DDD3F" w14:textId="77777777" w:rsidR="00E5400D" w:rsidRDefault="00E5400D" w:rsidP="00214BB7">
      <w:pPr>
        <w:contextualSpacing/>
        <w:jc w:val="both"/>
        <w:rPr>
          <w:sz w:val="24"/>
          <w:vertAlign w:val="subscript"/>
        </w:rPr>
      </w:pPr>
    </w:p>
    <w:p w14:paraId="405E087E" w14:textId="7AC90687" w:rsidR="004E0FCF" w:rsidRDefault="004E0FCF" w:rsidP="004E0FCF">
      <w:pPr>
        <w:pStyle w:val="Caption"/>
        <w:keepNext/>
      </w:pPr>
      <w:r>
        <w:t xml:space="preserve">Table </w:t>
      </w:r>
      <w:fldSimple w:instr=" SEQ Table \* ARABIC ">
        <w:r>
          <w:rPr>
            <w:noProof/>
          </w:rPr>
          <w:t>1</w:t>
        </w:r>
      </w:fldSimple>
      <w:r>
        <w:t xml:space="preserve"> Required probability of block error rate for PDCCH for downlink data transmission</w:t>
      </w:r>
    </w:p>
    <w:tbl>
      <w:tblPr>
        <w:tblStyle w:val="GridTable3-Accent2"/>
        <w:tblW w:w="0" w:type="auto"/>
        <w:tblLook w:val="0000" w:firstRow="0" w:lastRow="0" w:firstColumn="0" w:lastColumn="0" w:noHBand="0" w:noVBand="0"/>
      </w:tblPr>
      <w:tblGrid>
        <w:gridCol w:w="2802"/>
        <w:gridCol w:w="1166"/>
        <w:gridCol w:w="732"/>
        <w:gridCol w:w="823"/>
        <w:gridCol w:w="953"/>
        <w:gridCol w:w="1100"/>
        <w:gridCol w:w="1132"/>
        <w:gridCol w:w="1254"/>
      </w:tblGrid>
      <w:tr w:rsidR="007D319B" w14:paraId="6307EFCF" w14:textId="77777777" w:rsidTr="004E0FCF">
        <w:trPr>
          <w:cnfStyle w:val="000000100000" w:firstRow="0" w:lastRow="0" w:firstColumn="0" w:lastColumn="0" w:oddVBand="0" w:evenVBand="0" w:oddHBand="1" w:evenHBand="0" w:firstRowFirstColumn="0" w:firstRowLastColumn="0" w:lastRowFirstColumn="0" w:lastRowLastColumn="0"/>
          <w:trHeight w:val="495"/>
        </w:trPr>
        <w:tc>
          <w:tcPr>
            <w:cnfStyle w:val="000010000000" w:firstRow="0" w:lastRow="0" w:firstColumn="0" w:lastColumn="0" w:oddVBand="1" w:evenVBand="0" w:oddHBand="0" w:evenHBand="0" w:firstRowFirstColumn="0" w:firstRowLastColumn="0" w:lastRowFirstColumn="0" w:lastRowLastColumn="0"/>
            <w:tcW w:w="2802" w:type="dxa"/>
            <w:vMerge w:val="restart"/>
          </w:tcPr>
          <w:p w14:paraId="7F0B082A" w14:textId="0B4A7AEE" w:rsidR="007D319B" w:rsidRPr="00E5400D" w:rsidRDefault="007D319B" w:rsidP="00E5400D">
            <w:pPr>
              <w:jc w:val="both"/>
              <w:rPr>
                <w:b/>
                <w:sz w:val="24"/>
                <w:szCs w:val="28"/>
              </w:rPr>
            </w:pPr>
            <w:r>
              <w:rPr>
                <w:b/>
                <w:sz w:val="24"/>
                <w:szCs w:val="28"/>
              </w:rPr>
              <w:t>P</w:t>
            </w:r>
            <w:r w:rsidRPr="00E5400D">
              <w:rPr>
                <w:b/>
                <w:sz w:val="24"/>
                <w:szCs w:val="28"/>
                <w:vertAlign w:val="subscript"/>
              </w:rPr>
              <w:t>R</w:t>
            </w:r>
            <w:r>
              <w:rPr>
                <w:b/>
                <w:sz w:val="24"/>
                <w:szCs w:val="28"/>
                <w:vertAlign w:val="subscript"/>
              </w:rPr>
              <w:t xml:space="preserve"> </w:t>
            </w:r>
            <w:r>
              <w:rPr>
                <w:b/>
                <w:sz w:val="24"/>
                <w:szCs w:val="28"/>
              </w:rPr>
              <w:t>in percentage</w:t>
            </w:r>
          </w:p>
          <w:p w14:paraId="654535B5" w14:textId="77777777" w:rsidR="007D319B" w:rsidRDefault="007D319B" w:rsidP="00E253D2">
            <w:pPr>
              <w:pStyle w:val="ListParagraph"/>
              <w:ind w:left="360"/>
              <w:jc w:val="both"/>
              <w:rPr>
                <w:b/>
                <w:sz w:val="24"/>
                <w:szCs w:val="28"/>
              </w:rPr>
            </w:pPr>
          </w:p>
        </w:tc>
        <w:tc>
          <w:tcPr>
            <w:tcW w:w="7160" w:type="dxa"/>
            <w:gridSpan w:val="7"/>
            <w:tcBorders>
              <w:bottom w:val="single" w:sz="4" w:space="0" w:color="auto"/>
            </w:tcBorders>
          </w:tcPr>
          <w:p w14:paraId="1FDDC335" w14:textId="7A61958F" w:rsidR="007D319B" w:rsidRPr="00E5400D" w:rsidRDefault="007D319B" w:rsidP="00E5400D">
            <w:pPr>
              <w:jc w:val="both"/>
              <w:cnfStyle w:val="000000100000" w:firstRow="0" w:lastRow="0" w:firstColumn="0" w:lastColumn="0" w:oddVBand="0" w:evenVBand="0" w:oddHBand="1" w:evenHBand="0" w:firstRowFirstColumn="0" w:firstRowLastColumn="0" w:lastRowFirstColumn="0" w:lastRowLastColumn="0"/>
              <w:rPr>
                <w:b/>
                <w:sz w:val="24"/>
                <w:szCs w:val="28"/>
              </w:rPr>
            </w:pPr>
            <w:r>
              <w:rPr>
                <w:rFonts w:ascii="Calibri" w:eastAsia="Calibri" w:hAnsi="Calibri"/>
                <w:b/>
                <w:sz w:val="24"/>
                <w:szCs w:val="28"/>
              </w:rPr>
              <w:t xml:space="preserve">                  </w:t>
            </w:r>
            <w:r w:rsidR="00E253D2">
              <w:rPr>
                <w:rFonts w:ascii="Calibri" w:eastAsia="Calibri" w:hAnsi="Calibri"/>
                <w:b/>
                <w:sz w:val="24"/>
                <w:szCs w:val="28"/>
              </w:rPr>
              <w:t xml:space="preserve">                </w:t>
            </w:r>
            <w:r>
              <w:rPr>
                <w:rFonts w:ascii="Calibri" w:eastAsia="Calibri" w:hAnsi="Calibri"/>
                <w:b/>
                <w:sz w:val="24"/>
                <w:szCs w:val="28"/>
              </w:rPr>
              <w:t xml:space="preserve">   P</w:t>
            </w:r>
            <w:r w:rsidR="00DE6773">
              <w:rPr>
                <w:rFonts w:ascii="Calibri" w:eastAsia="Calibri" w:hAnsi="Calibri"/>
                <w:b/>
                <w:sz w:val="24"/>
                <w:szCs w:val="28"/>
                <w:vertAlign w:val="subscript"/>
              </w:rPr>
              <w:t>dc</w:t>
            </w:r>
            <w:r>
              <w:rPr>
                <w:rFonts w:ascii="Calibri" w:eastAsia="Calibri" w:hAnsi="Calibri"/>
                <w:b/>
                <w:sz w:val="24"/>
                <w:szCs w:val="28"/>
                <w:vertAlign w:val="subscript"/>
              </w:rPr>
              <w:t>i</w:t>
            </w:r>
            <w:r w:rsidR="00E253D2">
              <w:rPr>
                <w:rFonts w:ascii="Calibri" w:eastAsia="Calibri" w:hAnsi="Calibri"/>
                <w:b/>
                <w:sz w:val="24"/>
                <w:szCs w:val="28"/>
                <w:vertAlign w:val="subscript"/>
              </w:rPr>
              <w:t xml:space="preserve">      </w:t>
            </w:r>
          </w:p>
          <w:p w14:paraId="0F755B1E" w14:textId="77777777" w:rsidR="007D319B" w:rsidRDefault="007D319B" w:rsidP="00E253D2">
            <w:pPr>
              <w:pStyle w:val="ListParagraph"/>
              <w:ind w:left="360"/>
              <w:jc w:val="both"/>
              <w:cnfStyle w:val="000000100000" w:firstRow="0" w:lastRow="0" w:firstColumn="0" w:lastColumn="0" w:oddVBand="0" w:evenVBand="0" w:oddHBand="1" w:evenHBand="0" w:firstRowFirstColumn="0" w:firstRowLastColumn="0" w:lastRowFirstColumn="0" w:lastRowLastColumn="0"/>
              <w:rPr>
                <w:b/>
                <w:sz w:val="24"/>
                <w:szCs w:val="28"/>
              </w:rPr>
            </w:pPr>
          </w:p>
        </w:tc>
      </w:tr>
      <w:tr w:rsidR="00E253D2" w14:paraId="093F29C7" w14:textId="77777777" w:rsidTr="004E0FCF">
        <w:trPr>
          <w:trHeight w:val="419"/>
        </w:trPr>
        <w:tc>
          <w:tcPr>
            <w:cnfStyle w:val="000010000000" w:firstRow="0" w:lastRow="0" w:firstColumn="0" w:lastColumn="0" w:oddVBand="1" w:evenVBand="0" w:oddHBand="0" w:evenHBand="0" w:firstRowFirstColumn="0" w:firstRowLastColumn="0" w:lastRowFirstColumn="0" w:lastRowLastColumn="0"/>
            <w:tcW w:w="2802" w:type="dxa"/>
            <w:vMerge/>
          </w:tcPr>
          <w:p w14:paraId="3ED0455F" w14:textId="77777777" w:rsidR="00E253D2" w:rsidRDefault="00E253D2" w:rsidP="00E5400D">
            <w:pPr>
              <w:jc w:val="both"/>
              <w:rPr>
                <w:b/>
                <w:sz w:val="24"/>
                <w:szCs w:val="28"/>
              </w:rPr>
            </w:pPr>
          </w:p>
        </w:tc>
        <w:tc>
          <w:tcPr>
            <w:tcW w:w="7160" w:type="dxa"/>
            <w:gridSpan w:val="7"/>
            <w:tcBorders>
              <w:top w:val="single" w:sz="4" w:space="0" w:color="auto"/>
              <w:bottom w:val="single" w:sz="4" w:space="0" w:color="auto"/>
            </w:tcBorders>
          </w:tcPr>
          <w:p w14:paraId="57022B2C" w14:textId="6C888430" w:rsidR="00E253D2" w:rsidRDefault="00E253D2" w:rsidP="00E253D2">
            <w:pPr>
              <w:pStyle w:val="ListParagraph"/>
              <w:ind w:left="360"/>
              <w:jc w:val="both"/>
              <w:cnfStyle w:val="000000000000" w:firstRow="0" w:lastRow="0" w:firstColumn="0" w:lastColumn="0" w:oddVBand="0" w:evenVBand="0" w:oddHBand="0" w:evenHBand="0" w:firstRowFirstColumn="0" w:firstRowLastColumn="0" w:lastRowFirstColumn="0" w:lastRowLastColumn="0"/>
              <w:rPr>
                <w:b/>
                <w:sz w:val="24"/>
                <w:szCs w:val="28"/>
              </w:rPr>
            </w:pPr>
            <w:r>
              <w:rPr>
                <w:b/>
                <w:sz w:val="24"/>
                <w:szCs w:val="28"/>
              </w:rPr>
              <w:t xml:space="preserve">                    Ppdsch</w:t>
            </w:r>
          </w:p>
        </w:tc>
      </w:tr>
      <w:tr w:rsidR="007D319B" w14:paraId="0D6D423A" w14:textId="1DD89796" w:rsidTr="004E0FCF">
        <w:trPr>
          <w:cnfStyle w:val="000000100000" w:firstRow="0" w:lastRow="0" w:firstColumn="0" w:lastColumn="0" w:oddVBand="0" w:evenVBand="0" w:oddHBand="1" w:evenHBand="0" w:firstRowFirstColumn="0" w:firstRowLastColumn="0" w:lastRowFirstColumn="0" w:lastRowLastColumn="0"/>
          <w:trHeight w:val="647"/>
        </w:trPr>
        <w:tc>
          <w:tcPr>
            <w:cnfStyle w:val="000010000000" w:firstRow="0" w:lastRow="0" w:firstColumn="0" w:lastColumn="0" w:oddVBand="1" w:evenVBand="0" w:oddHBand="0" w:evenHBand="0" w:firstRowFirstColumn="0" w:firstRowLastColumn="0" w:lastRowFirstColumn="0" w:lastRowLastColumn="0"/>
            <w:tcW w:w="2802" w:type="dxa"/>
            <w:vMerge/>
          </w:tcPr>
          <w:p w14:paraId="682CDCC7" w14:textId="77777777" w:rsidR="007D319B" w:rsidRDefault="007D319B" w:rsidP="00E5400D">
            <w:pPr>
              <w:jc w:val="both"/>
              <w:rPr>
                <w:b/>
                <w:sz w:val="24"/>
                <w:szCs w:val="28"/>
              </w:rPr>
            </w:pPr>
          </w:p>
        </w:tc>
        <w:tc>
          <w:tcPr>
            <w:tcW w:w="1166" w:type="dxa"/>
            <w:tcBorders>
              <w:top w:val="single" w:sz="4" w:space="0" w:color="auto"/>
              <w:right w:val="single" w:sz="4" w:space="0" w:color="auto"/>
            </w:tcBorders>
          </w:tcPr>
          <w:p w14:paraId="1C1EAEFD" w14:textId="55234B30"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0.1</w:t>
            </w:r>
          </w:p>
        </w:tc>
        <w:tc>
          <w:tcPr>
            <w:cnfStyle w:val="000010000000" w:firstRow="0" w:lastRow="0" w:firstColumn="0" w:lastColumn="0" w:oddVBand="1" w:evenVBand="0" w:oddHBand="0" w:evenHBand="0" w:firstRowFirstColumn="0" w:firstRowLastColumn="0" w:lastRowFirstColumn="0" w:lastRowLastColumn="0"/>
            <w:tcW w:w="732" w:type="dxa"/>
            <w:tcBorders>
              <w:top w:val="single" w:sz="4" w:space="0" w:color="auto"/>
              <w:right w:val="single" w:sz="4" w:space="0" w:color="auto"/>
            </w:tcBorders>
          </w:tcPr>
          <w:p w14:paraId="414397B7" w14:textId="221F259E" w:rsidR="007D319B" w:rsidRPr="007D319B" w:rsidRDefault="007D319B" w:rsidP="007D319B">
            <w:pPr>
              <w:jc w:val="both"/>
              <w:rPr>
                <w:b/>
                <w:sz w:val="24"/>
                <w:szCs w:val="28"/>
              </w:rPr>
            </w:pPr>
            <w:r>
              <w:rPr>
                <w:b/>
                <w:sz w:val="24"/>
                <w:szCs w:val="28"/>
              </w:rPr>
              <w:t>0.01</w:t>
            </w:r>
          </w:p>
        </w:tc>
        <w:tc>
          <w:tcPr>
            <w:tcW w:w="823" w:type="dxa"/>
            <w:tcBorders>
              <w:top w:val="single" w:sz="4" w:space="0" w:color="auto"/>
              <w:left w:val="single" w:sz="4" w:space="0" w:color="auto"/>
            </w:tcBorders>
          </w:tcPr>
          <w:p w14:paraId="5BB23347" w14:textId="1B9EDE73"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sidRPr="007D319B">
              <w:rPr>
                <w:b/>
                <w:sz w:val="24"/>
                <w:szCs w:val="28"/>
              </w:rPr>
              <w:t>0.001</w:t>
            </w:r>
          </w:p>
        </w:tc>
        <w:tc>
          <w:tcPr>
            <w:cnfStyle w:val="000010000000" w:firstRow="0" w:lastRow="0" w:firstColumn="0" w:lastColumn="0" w:oddVBand="1" w:evenVBand="0" w:oddHBand="0" w:evenHBand="0" w:firstRowFirstColumn="0" w:firstRowLastColumn="0" w:lastRowFirstColumn="0" w:lastRowLastColumn="0"/>
            <w:tcW w:w="953" w:type="dxa"/>
            <w:tcBorders>
              <w:top w:val="single" w:sz="4" w:space="0" w:color="auto"/>
              <w:left w:val="single" w:sz="4" w:space="0" w:color="auto"/>
            </w:tcBorders>
          </w:tcPr>
          <w:p w14:paraId="0A9A57E2" w14:textId="54D12FA0" w:rsidR="007D319B" w:rsidRPr="007D319B" w:rsidRDefault="007D319B" w:rsidP="007D319B">
            <w:pPr>
              <w:jc w:val="both"/>
              <w:rPr>
                <w:b/>
                <w:sz w:val="24"/>
                <w:szCs w:val="28"/>
              </w:rPr>
            </w:pPr>
            <w:r w:rsidRPr="007D319B">
              <w:rPr>
                <w:b/>
                <w:sz w:val="24"/>
                <w:szCs w:val="28"/>
              </w:rPr>
              <w:t>0.0001</w:t>
            </w:r>
          </w:p>
        </w:tc>
        <w:tc>
          <w:tcPr>
            <w:tcW w:w="1100" w:type="dxa"/>
            <w:tcBorders>
              <w:top w:val="single" w:sz="4" w:space="0" w:color="auto"/>
              <w:left w:val="single" w:sz="4" w:space="0" w:color="auto"/>
            </w:tcBorders>
          </w:tcPr>
          <w:p w14:paraId="39FBE273" w14:textId="69C77C9B"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0.00001</w:t>
            </w:r>
          </w:p>
        </w:tc>
        <w:tc>
          <w:tcPr>
            <w:cnfStyle w:val="000010000000" w:firstRow="0" w:lastRow="0" w:firstColumn="0" w:lastColumn="0" w:oddVBand="1" w:evenVBand="0" w:oddHBand="0" w:evenHBand="0" w:firstRowFirstColumn="0" w:firstRowLastColumn="0" w:lastRowFirstColumn="0" w:lastRowLastColumn="0"/>
            <w:tcW w:w="1132" w:type="dxa"/>
            <w:tcBorders>
              <w:top w:val="single" w:sz="4" w:space="0" w:color="auto"/>
              <w:left w:val="single" w:sz="4" w:space="0" w:color="auto"/>
            </w:tcBorders>
          </w:tcPr>
          <w:p w14:paraId="53D441D0" w14:textId="4DAE42EA" w:rsidR="007D319B" w:rsidRPr="007D319B" w:rsidRDefault="007D319B" w:rsidP="007D319B">
            <w:pPr>
              <w:jc w:val="both"/>
              <w:rPr>
                <w:b/>
                <w:sz w:val="24"/>
                <w:szCs w:val="28"/>
              </w:rPr>
            </w:pPr>
            <w:r>
              <w:rPr>
                <w:b/>
                <w:sz w:val="24"/>
                <w:szCs w:val="28"/>
              </w:rPr>
              <w:t>0.000001</w:t>
            </w:r>
          </w:p>
        </w:tc>
        <w:tc>
          <w:tcPr>
            <w:tcW w:w="1254" w:type="dxa"/>
            <w:tcBorders>
              <w:top w:val="single" w:sz="4" w:space="0" w:color="auto"/>
              <w:left w:val="single" w:sz="4" w:space="0" w:color="auto"/>
            </w:tcBorders>
          </w:tcPr>
          <w:p w14:paraId="193C1110" w14:textId="249F7656" w:rsidR="007D319B" w:rsidRPr="007D319B" w:rsidRDefault="007D319B" w:rsidP="007D319B">
            <w:pPr>
              <w:jc w:val="both"/>
              <w:cnfStyle w:val="000000100000" w:firstRow="0" w:lastRow="0" w:firstColumn="0" w:lastColumn="0" w:oddVBand="0" w:evenVBand="0" w:oddHBand="1" w:evenHBand="0" w:firstRowFirstColumn="0" w:firstRowLastColumn="0" w:lastRowFirstColumn="0" w:lastRowLastColumn="0"/>
              <w:rPr>
                <w:b/>
                <w:sz w:val="24"/>
                <w:szCs w:val="28"/>
              </w:rPr>
            </w:pPr>
            <w:r>
              <w:rPr>
                <w:b/>
                <w:sz w:val="24"/>
                <w:szCs w:val="28"/>
              </w:rPr>
              <w:t>0.0000001</w:t>
            </w:r>
          </w:p>
        </w:tc>
      </w:tr>
      <w:tr w:rsidR="007D319B" w14:paraId="3CDC94C0" w14:textId="6C3A9C7E"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5D7FDE7A" w14:textId="389C131D" w:rsidR="007D319B" w:rsidRDefault="007D319B" w:rsidP="00E5400D">
            <w:pPr>
              <w:jc w:val="both"/>
              <w:rPr>
                <w:b/>
                <w:sz w:val="24"/>
                <w:szCs w:val="28"/>
              </w:rPr>
            </w:pPr>
            <w:r>
              <w:rPr>
                <w:b/>
                <w:sz w:val="24"/>
                <w:szCs w:val="28"/>
              </w:rPr>
              <w:t>99.9999</w:t>
            </w:r>
          </w:p>
        </w:tc>
        <w:tc>
          <w:tcPr>
            <w:tcW w:w="1166" w:type="dxa"/>
            <w:tcBorders>
              <w:right w:val="single" w:sz="4" w:space="0" w:color="auto"/>
            </w:tcBorders>
          </w:tcPr>
          <w:p w14:paraId="0D86E05D" w14:textId="721BC7C3"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71374684" w14:textId="5E515AF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43A78821" w14:textId="5EE3A582"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13C175C4" w14:textId="183FB3DB"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tcPr>
          <w:p w14:paraId="059AA157" w14:textId="7A11CF0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tcPr>
          <w:p w14:paraId="00146129" w14:textId="20766BC9"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254" w:type="dxa"/>
            <w:tcBorders>
              <w:left w:val="single" w:sz="4" w:space="0" w:color="auto"/>
            </w:tcBorders>
            <w:shd w:val="clear" w:color="auto" w:fill="5B9BD5" w:themeFill="accent1"/>
          </w:tcPr>
          <w:p w14:paraId="1F927926" w14:textId="503F1E33"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0.0000009</w:t>
            </w:r>
          </w:p>
        </w:tc>
      </w:tr>
      <w:tr w:rsidR="007D319B" w14:paraId="74E0F4DC" w14:textId="19CD2CD5" w:rsidTr="004E0FCF">
        <w:trPr>
          <w:cnfStyle w:val="000000100000" w:firstRow="0" w:lastRow="0" w:firstColumn="0" w:lastColumn="0" w:oddVBand="0" w:evenVBand="0" w:oddHBand="1" w:evenHBand="0" w:firstRowFirstColumn="0" w:firstRowLastColumn="0" w:lastRowFirstColumn="0" w:lastRowLastColumn="0"/>
          <w:trHeight w:val="590"/>
        </w:trPr>
        <w:tc>
          <w:tcPr>
            <w:cnfStyle w:val="000010000000" w:firstRow="0" w:lastRow="0" w:firstColumn="0" w:lastColumn="0" w:oddVBand="1" w:evenVBand="0" w:oddHBand="0" w:evenHBand="0" w:firstRowFirstColumn="0" w:firstRowLastColumn="0" w:lastRowFirstColumn="0" w:lastRowLastColumn="0"/>
            <w:tcW w:w="2802" w:type="dxa"/>
          </w:tcPr>
          <w:p w14:paraId="751F15E1" w14:textId="569600B9" w:rsidR="007D319B" w:rsidRDefault="007D319B" w:rsidP="00E5400D">
            <w:pPr>
              <w:jc w:val="both"/>
              <w:rPr>
                <w:b/>
                <w:sz w:val="24"/>
                <w:szCs w:val="28"/>
              </w:rPr>
            </w:pPr>
            <w:r>
              <w:rPr>
                <w:b/>
                <w:sz w:val="24"/>
                <w:szCs w:val="28"/>
              </w:rPr>
              <w:t>99.999</w:t>
            </w:r>
          </w:p>
        </w:tc>
        <w:tc>
          <w:tcPr>
            <w:tcW w:w="1166" w:type="dxa"/>
            <w:tcBorders>
              <w:right w:val="single" w:sz="4" w:space="0" w:color="auto"/>
            </w:tcBorders>
          </w:tcPr>
          <w:p w14:paraId="449741B6" w14:textId="5138300B"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438A45BE" w14:textId="7397F24E"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2F513D92" w14:textId="27379226"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0E624C0E" w14:textId="19EE805E"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tcPr>
          <w:p w14:paraId="75C5ADBF" w14:textId="6DBF5157" w:rsidR="007D319B" w:rsidRDefault="007D319B" w:rsidP="00E253D2">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6F3E2A51" w14:textId="6F05D07A"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sidRPr="007D319B">
              <w:rPr>
                <w:rFonts w:ascii="Calibri" w:eastAsia="Calibri" w:hAnsi="Calibri"/>
                <w:b/>
                <w:sz w:val="24"/>
                <w:szCs w:val="28"/>
              </w:rPr>
              <w:t>0.000009</w:t>
            </w:r>
          </w:p>
        </w:tc>
        <w:tc>
          <w:tcPr>
            <w:tcW w:w="1254" w:type="dxa"/>
            <w:tcBorders>
              <w:left w:val="single" w:sz="4" w:space="0" w:color="auto"/>
            </w:tcBorders>
            <w:shd w:val="clear" w:color="auto" w:fill="5B9BD5" w:themeFill="accent1"/>
          </w:tcPr>
          <w:p w14:paraId="6F3D9DA0" w14:textId="6FCA1186" w:rsidR="007D319B" w:rsidRDefault="007D319B" w:rsidP="007D319B">
            <w:pPr>
              <w:overflowPunct/>
              <w:autoSpaceDE/>
              <w:autoSpaceDN/>
              <w:adjustRightInd/>
              <w:spacing w:after="160" w:line="259" w:lineRule="auto"/>
              <w:textAlignment w:val="auto"/>
              <w:cnfStyle w:val="000000100000" w:firstRow="0" w:lastRow="0" w:firstColumn="0" w:lastColumn="0" w:oddVBand="0" w:evenVBand="0" w:oddHBand="1"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0.0000099</w:t>
            </w:r>
          </w:p>
        </w:tc>
      </w:tr>
      <w:tr w:rsidR="007D319B" w14:paraId="379BB758" w14:textId="6D0B217D" w:rsidTr="004E0FCF">
        <w:trPr>
          <w:trHeight w:val="590"/>
        </w:trPr>
        <w:tc>
          <w:tcPr>
            <w:cnfStyle w:val="000010000000" w:firstRow="0" w:lastRow="0" w:firstColumn="0" w:lastColumn="0" w:oddVBand="1" w:evenVBand="0" w:oddHBand="0" w:evenHBand="0" w:firstRowFirstColumn="0" w:firstRowLastColumn="0" w:lastRowFirstColumn="0" w:lastRowLastColumn="0"/>
            <w:tcW w:w="2802" w:type="dxa"/>
          </w:tcPr>
          <w:p w14:paraId="43A26491" w14:textId="53A69418" w:rsidR="007D319B" w:rsidRDefault="007D319B" w:rsidP="00E5400D">
            <w:pPr>
              <w:jc w:val="both"/>
              <w:rPr>
                <w:b/>
                <w:sz w:val="24"/>
                <w:szCs w:val="28"/>
              </w:rPr>
            </w:pPr>
            <w:r>
              <w:rPr>
                <w:b/>
                <w:sz w:val="24"/>
                <w:szCs w:val="28"/>
              </w:rPr>
              <w:t>99.99</w:t>
            </w:r>
          </w:p>
        </w:tc>
        <w:tc>
          <w:tcPr>
            <w:tcW w:w="1166" w:type="dxa"/>
            <w:tcBorders>
              <w:right w:val="single" w:sz="4" w:space="0" w:color="auto"/>
            </w:tcBorders>
          </w:tcPr>
          <w:p w14:paraId="47F8EC43" w14:textId="3149FA94"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732" w:type="dxa"/>
            <w:tcBorders>
              <w:right w:val="single" w:sz="4" w:space="0" w:color="auto"/>
            </w:tcBorders>
          </w:tcPr>
          <w:p w14:paraId="12C6EF6F" w14:textId="7E1EC4FF"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823" w:type="dxa"/>
            <w:tcBorders>
              <w:left w:val="single" w:sz="4" w:space="0" w:color="auto"/>
            </w:tcBorders>
          </w:tcPr>
          <w:p w14:paraId="7559863E" w14:textId="7D78648B"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Pr>
                <w:rFonts w:ascii="Calibri" w:eastAsia="Calibri" w:hAnsi="Calibri"/>
                <w:b/>
                <w:sz w:val="24"/>
                <w:szCs w:val="28"/>
              </w:rPr>
              <w:t>NA</w:t>
            </w:r>
          </w:p>
        </w:tc>
        <w:tc>
          <w:tcPr>
            <w:cnfStyle w:val="000010000000" w:firstRow="0" w:lastRow="0" w:firstColumn="0" w:lastColumn="0" w:oddVBand="1" w:evenVBand="0" w:oddHBand="0" w:evenHBand="0" w:firstRowFirstColumn="0" w:firstRowLastColumn="0" w:lastRowFirstColumn="0" w:lastRowLastColumn="0"/>
            <w:tcW w:w="953" w:type="dxa"/>
            <w:tcBorders>
              <w:left w:val="single" w:sz="4" w:space="0" w:color="auto"/>
            </w:tcBorders>
          </w:tcPr>
          <w:p w14:paraId="3EEBD158" w14:textId="0EB616B8"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Pr>
                <w:rFonts w:ascii="Calibri" w:eastAsia="Calibri" w:hAnsi="Calibri"/>
                <w:b/>
                <w:sz w:val="24"/>
                <w:szCs w:val="28"/>
              </w:rPr>
              <w:t>NA</w:t>
            </w:r>
          </w:p>
        </w:tc>
        <w:tc>
          <w:tcPr>
            <w:tcW w:w="1100" w:type="dxa"/>
            <w:tcBorders>
              <w:left w:val="single" w:sz="4" w:space="0" w:color="auto"/>
            </w:tcBorders>
            <w:shd w:val="clear" w:color="auto" w:fill="5B9BD5" w:themeFill="accent1"/>
          </w:tcPr>
          <w:p w14:paraId="19ED1C7B" w14:textId="59734287" w:rsidR="007D319B" w:rsidRDefault="007D319B" w:rsidP="00E253D2">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0.00009</w:t>
            </w:r>
          </w:p>
        </w:tc>
        <w:tc>
          <w:tcPr>
            <w:cnfStyle w:val="000010000000" w:firstRow="0" w:lastRow="0" w:firstColumn="0" w:lastColumn="0" w:oddVBand="1" w:evenVBand="0" w:oddHBand="0" w:evenHBand="0" w:firstRowFirstColumn="0" w:firstRowLastColumn="0" w:lastRowFirstColumn="0" w:lastRowLastColumn="0"/>
            <w:tcW w:w="1132" w:type="dxa"/>
            <w:tcBorders>
              <w:left w:val="single" w:sz="4" w:space="0" w:color="auto"/>
            </w:tcBorders>
            <w:shd w:val="clear" w:color="auto" w:fill="5B9BD5" w:themeFill="accent1"/>
          </w:tcPr>
          <w:p w14:paraId="4F0A2AFC" w14:textId="61DC0853" w:rsidR="007D319B" w:rsidRDefault="007D319B" w:rsidP="00E253D2">
            <w:pPr>
              <w:overflowPunct/>
              <w:autoSpaceDE/>
              <w:autoSpaceDN/>
              <w:adjustRightInd/>
              <w:spacing w:after="160" w:line="259" w:lineRule="auto"/>
              <w:textAlignment w:val="auto"/>
              <w:rPr>
                <w:rFonts w:ascii="Calibri" w:eastAsia="Calibri" w:hAnsi="Calibri"/>
                <w:b/>
                <w:sz w:val="24"/>
                <w:szCs w:val="28"/>
              </w:rPr>
            </w:pPr>
            <w:r w:rsidRPr="007D319B">
              <w:rPr>
                <w:rFonts w:ascii="Calibri" w:eastAsia="Calibri" w:hAnsi="Calibri"/>
                <w:b/>
                <w:sz w:val="24"/>
                <w:szCs w:val="28"/>
              </w:rPr>
              <w:t>0.000099</w:t>
            </w:r>
          </w:p>
        </w:tc>
        <w:tc>
          <w:tcPr>
            <w:tcW w:w="1254" w:type="dxa"/>
            <w:tcBorders>
              <w:left w:val="single" w:sz="4" w:space="0" w:color="auto"/>
            </w:tcBorders>
            <w:shd w:val="clear" w:color="auto" w:fill="5B9BD5" w:themeFill="accent1"/>
          </w:tcPr>
          <w:p w14:paraId="5F10B4B7" w14:textId="3AD28138" w:rsidR="007D319B" w:rsidRDefault="007D319B" w:rsidP="007D319B">
            <w:pPr>
              <w:overflowPunct/>
              <w:autoSpaceDE/>
              <w:autoSpaceDN/>
              <w:adjustRightInd/>
              <w:spacing w:after="160" w:line="259" w:lineRule="auto"/>
              <w:textAlignment w:val="auto"/>
              <w:cnfStyle w:val="000000000000" w:firstRow="0" w:lastRow="0" w:firstColumn="0" w:lastColumn="0" w:oddVBand="0" w:evenVBand="0" w:oddHBand="0" w:evenHBand="0" w:firstRowFirstColumn="0" w:firstRowLastColumn="0" w:lastRowFirstColumn="0" w:lastRowLastColumn="0"/>
              <w:rPr>
                <w:rFonts w:ascii="Calibri" w:eastAsia="Calibri" w:hAnsi="Calibri"/>
                <w:b/>
                <w:sz w:val="24"/>
                <w:szCs w:val="28"/>
              </w:rPr>
            </w:pPr>
            <w:r w:rsidRPr="007D319B">
              <w:rPr>
                <w:rFonts w:ascii="Calibri" w:eastAsia="Calibri" w:hAnsi="Calibri"/>
                <w:b/>
                <w:sz w:val="24"/>
                <w:szCs w:val="28"/>
              </w:rPr>
              <w:t>0.0000999</w:t>
            </w:r>
          </w:p>
        </w:tc>
      </w:tr>
    </w:tbl>
    <w:p w14:paraId="3095E8D5" w14:textId="77777777" w:rsidR="002D5FAF" w:rsidRDefault="002D5FAF" w:rsidP="00214BB7">
      <w:pPr>
        <w:contextualSpacing/>
        <w:jc w:val="both"/>
        <w:rPr>
          <w:sz w:val="24"/>
        </w:rPr>
      </w:pPr>
    </w:p>
    <w:p w14:paraId="5ED04008" w14:textId="79224C4B" w:rsidR="00487CD8" w:rsidRDefault="00FD1778" w:rsidP="00214BB7">
      <w:pPr>
        <w:contextualSpacing/>
        <w:jc w:val="both"/>
        <w:rPr>
          <w:sz w:val="24"/>
        </w:rPr>
      </w:pPr>
      <w:r>
        <w:rPr>
          <w:sz w:val="24"/>
        </w:rPr>
        <w:t>Figure 1 shows the</w:t>
      </w:r>
      <w:r w:rsidR="00C61BF4">
        <w:rPr>
          <w:sz w:val="24"/>
        </w:rPr>
        <w:t xml:space="preserve"> FER for PDCCH with 2 receiving antennas</w:t>
      </w:r>
      <w:r w:rsidR="00C06FE8">
        <w:rPr>
          <w:sz w:val="24"/>
        </w:rPr>
        <w:t xml:space="preserve">.  Typically the cell edge UE in NR will have the SNR of -7 dB. Hence for that </w:t>
      </w:r>
      <w:r w:rsidR="002D5FAF">
        <w:rPr>
          <w:sz w:val="24"/>
        </w:rPr>
        <w:t>SNR,</w:t>
      </w:r>
      <w:r w:rsidR="00C06FE8">
        <w:rPr>
          <w:sz w:val="24"/>
        </w:rPr>
        <w:t xml:space="preserve"> it can observed that NR URLLC services can’t be satisfied with the conventional downlink control channel. </w:t>
      </w:r>
      <w:r w:rsidR="002D5FAF">
        <w:rPr>
          <w:sz w:val="24"/>
        </w:rPr>
        <w:t xml:space="preserve"> One way to improve the performance of PDCCH is to increase the aggregation level to 16 or more. However, it should be noted that higher aggregation levels are not always possible for all bandwidths. Hence we recommend RAN1 should study schemes to enhance the PDCCH performance.</w:t>
      </w:r>
    </w:p>
    <w:p w14:paraId="78036004" w14:textId="77777777" w:rsidR="00FD1778" w:rsidRDefault="00FD1778" w:rsidP="00214BB7">
      <w:pPr>
        <w:contextualSpacing/>
        <w:jc w:val="both"/>
        <w:rPr>
          <w:sz w:val="24"/>
        </w:rPr>
      </w:pPr>
    </w:p>
    <w:p w14:paraId="4D38E96E" w14:textId="77777777" w:rsidR="00FD1778" w:rsidRDefault="00FD1778" w:rsidP="00214BB7">
      <w:pPr>
        <w:contextualSpacing/>
        <w:jc w:val="both"/>
        <w:rPr>
          <w:sz w:val="24"/>
        </w:rPr>
      </w:pPr>
    </w:p>
    <w:p w14:paraId="1B6010E8" w14:textId="77777777" w:rsidR="00FD1778" w:rsidRDefault="00FD1778" w:rsidP="00214BB7">
      <w:pPr>
        <w:contextualSpacing/>
        <w:jc w:val="both"/>
        <w:rPr>
          <w:sz w:val="24"/>
        </w:rPr>
      </w:pPr>
    </w:p>
    <w:p w14:paraId="4F7555FE" w14:textId="77777777" w:rsidR="00FD1778" w:rsidRDefault="00FD1778" w:rsidP="00214BB7">
      <w:pPr>
        <w:contextualSpacing/>
        <w:jc w:val="both"/>
        <w:rPr>
          <w:sz w:val="24"/>
        </w:rPr>
      </w:pPr>
    </w:p>
    <w:p w14:paraId="75E16C75" w14:textId="6370D693" w:rsidR="0054589A" w:rsidRDefault="00FD1778" w:rsidP="00811998">
      <w:pPr>
        <w:pStyle w:val="ListParagraph"/>
        <w:keepNext/>
        <w:overflowPunct w:val="0"/>
        <w:autoSpaceDE w:val="0"/>
        <w:autoSpaceDN w:val="0"/>
        <w:adjustRightInd w:val="0"/>
        <w:spacing w:after="180"/>
        <w:contextualSpacing/>
        <w:jc w:val="center"/>
        <w:textAlignment w:val="baseline"/>
      </w:pPr>
      <w:r w:rsidRPr="00AB6D01">
        <w:rPr>
          <w:noProof/>
          <w:sz w:val="24"/>
          <w:szCs w:val="28"/>
        </w:rPr>
        <w:lastRenderedPageBreak/>
        <w:drawing>
          <wp:inline distT="0" distB="0" distL="0" distR="0" wp14:anchorId="7AE4B56B" wp14:editId="0EC06C43">
            <wp:extent cx="4834672" cy="3627943"/>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4840846" cy="3632576"/>
                    </a:xfrm>
                    <a:prstGeom prst="rect">
                      <a:avLst/>
                    </a:prstGeom>
                  </pic:spPr>
                </pic:pic>
              </a:graphicData>
            </a:graphic>
          </wp:inline>
        </w:drawing>
      </w:r>
    </w:p>
    <w:p w14:paraId="640AB7D1" w14:textId="2D1CFED5" w:rsidR="003C0F81" w:rsidRDefault="0054589A" w:rsidP="00811998">
      <w:pPr>
        <w:pStyle w:val="Caption"/>
        <w:jc w:val="center"/>
      </w:pPr>
      <w:r>
        <w:t xml:space="preserve">Figure </w:t>
      </w:r>
      <w:r w:rsidR="00090E71">
        <w:rPr>
          <w:noProof/>
        </w:rPr>
        <w:fldChar w:fldCharType="begin"/>
      </w:r>
      <w:r w:rsidR="00090E71">
        <w:rPr>
          <w:noProof/>
        </w:rPr>
        <w:instrText xml:space="preserve"> SEQ Figure \* ARABIC </w:instrText>
      </w:r>
      <w:r w:rsidR="00090E71">
        <w:rPr>
          <w:noProof/>
        </w:rPr>
        <w:fldChar w:fldCharType="separate"/>
      </w:r>
      <w:r w:rsidR="00523190">
        <w:rPr>
          <w:noProof/>
        </w:rPr>
        <w:t>1</w:t>
      </w:r>
      <w:r w:rsidR="00090E71">
        <w:rPr>
          <w:noProof/>
        </w:rPr>
        <w:fldChar w:fldCharType="end"/>
      </w:r>
      <w:r w:rsidR="00FD1778">
        <w:t xml:space="preserve"> FER performance of PDCCH with 2 </w:t>
      </w:r>
      <w:r w:rsidR="00C61BF4">
        <w:t>receiving</w:t>
      </w:r>
      <w:r w:rsidR="00FD1778">
        <w:t xml:space="preserve"> antennas</w:t>
      </w:r>
    </w:p>
    <w:p w14:paraId="5954B053" w14:textId="77777777" w:rsidR="00770660" w:rsidRPr="00770660" w:rsidRDefault="00770660" w:rsidP="00770660"/>
    <w:p w14:paraId="49123DA7" w14:textId="6028450C" w:rsidR="002D5FAF" w:rsidRDefault="002D5FAF" w:rsidP="002D5FAF">
      <w:pPr>
        <w:contextualSpacing/>
        <w:rPr>
          <w:b/>
          <w:sz w:val="24"/>
          <w:szCs w:val="24"/>
        </w:rPr>
      </w:pPr>
      <w:r w:rsidRPr="00214BB7">
        <w:rPr>
          <w:b/>
          <w:noProof/>
          <w:sz w:val="24"/>
          <w:szCs w:val="24"/>
        </w:rPr>
        <w:t>Proposal 1:</w:t>
      </w:r>
      <w:r w:rsidRPr="00214BB7">
        <w:rPr>
          <w:b/>
          <w:sz w:val="24"/>
          <w:szCs w:val="24"/>
        </w:rPr>
        <w:t xml:space="preserve">  </w:t>
      </w:r>
      <w:r>
        <w:rPr>
          <w:b/>
          <w:sz w:val="24"/>
          <w:szCs w:val="24"/>
        </w:rPr>
        <w:t xml:space="preserve">RAN1 should study schemes for enhancing the performance of PDCCH </w:t>
      </w:r>
    </w:p>
    <w:p w14:paraId="21A83E0E" w14:textId="77777777" w:rsidR="00CC25D6" w:rsidRDefault="00CC25D6" w:rsidP="00CC25D6">
      <w:pPr>
        <w:pStyle w:val="Heading1"/>
        <w:rPr>
          <w:lang w:val="en-US"/>
        </w:rPr>
      </w:pPr>
      <w:r>
        <w:rPr>
          <w:lang w:val="en-US"/>
        </w:rPr>
        <w:t>PDDCH Enhancements</w:t>
      </w:r>
    </w:p>
    <w:p w14:paraId="4E616093" w14:textId="77777777" w:rsidR="00CC25D6" w:rsidRDefault="00CC25D6" w:rsidP="00CC25D6">
      <w:pPr>
        <w:jc w:val="both"/>
        <w:rPr>
          <w:sz w:val="24"/>
          <w:szCs w:val="24"/>
        </w:rPr>
      </w:pPr>
      <w:r>
        <w:rPr>
          <w:sz w:val="24"/>
          <w:szCs w:val="24"/>
        </w:rPr>
        <w:t xml:space="preserve">For PDSCH transmission, NR Release 15 provides two DCI formats format1-0 and format 1-1. However, in our view we need to revisit the contents for NR-URLLC applications. For example many entries are not applicable for URLLC or we can optimize the number of bits for compact DCI design. In this section, we focus on the redundancy version indication in downlink control channel for URLLC. </w:t>
      </w:r>
    </w:p>
    <w:p w14:paraId="08C2B7CE" w14:textId="77777777" w:rsidR="00CC25D6" w:rsidRPr="00646A34" w:rsidRDefault="00CC25D6" w:rsidP="00CC25D6">
      <w:pPr>
        <w:pStyle w:val="Heading2"/>
        <w:rPr>
          <w:sz w:val="28"/>
        </w:rPr>
      </w:pPr>
      <w:r>
        <w:rPr>
          <w:sz w:val="28"/>
        </w:rPr>
        <w:t>Indication of redundancy version in DCI</w:t>
      </w:r>
    </w:p>
    <w:p w14:paraId="3112097E" w14:textId="77777777" w:rsidR="00CC25D6" w:rsidRDefault="00CC25D6" w:rsidP="00CC25D6">
      <w:pPr>
        <w:pStyle w:val="Text"/>
        <w:jc w:val="both"/>
        <w:rPr>
          <w:rFonts w:ascii="Times New Roman" w:hAnsi="Times New Roman"/>
          <w:sz w:val="24"/>
        </w:rPr>
      </w:pPr>
      <w:r>
        <w:rPr>
          <w:rFonts w:ascii="Times New Roman" w:hAnsi="Times New Roman"/>
          <w:sz w:val="24"/>
        </w:rPr>
        <w:t>In section 7.3.1.2 of TS 38.212, it is mentioned that each transport block</w:t>
      </w:r>
    </w:p>
    <w:p w14:paraId="1C02EE55" w14:textId="77777777" w:rsidR="00CC25D6" w:rsidRDefault="00CC25D6" w:rsidP="00CC25D6">
      <w:pPr>
        <w:pStyle w:val="Text"/>
        <w:jc w:val="both"/>
        <w:rPr>
          <w:rFonts w:ascii="Times New Roman" w:hAnsi="Times New Roman"/>
          <w:sz w:val="24"/>
        </w:rPr>
      </w:pPr>
    </w:p>
    <w:p w14:paraId="377DF843" w14:textId="77777777" w:rsidR="00CC25D6" w:rsidRPr="001C415D" w:rsidRDefault="00CC25D6" w:rsidP="00CC25D6">
      <w:pPr>
        <w:ind w:firstLine="284"/>
        <w:rPr>
          <w:lang w:eastAsia="zh-CN"/>
        </w:rPr>
      </w:pPr>
      <w:r>
        <w:rPr>
          <w:rFonts w:hint="eastAsia"/>
        </w:rPr>
        <w:t>F</w:t>
      </w:r>
      <w:r>
        <w:t xml:space="preserve">or transport block 1: </w:t>
      </w:r>
    </w:p>
    <w:p w14:paraId="76AA03D2" w14:textId="77777777" w:rsidR="00CC25D6" w:rsidRDefault="00CC25D6" w:rsidP="00CC25D6">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w:t>
      </w:r>
    </w:p>
    <w:p w14:paraId="73617530" w14:textId="77777777" w:rsidR="00CC25D6" w:rsidRDefault="00CC25D6" w:rsidP="00CC25D6">
      <w:pPr>
        <w:pStyle w:val="B1"/>
        <w:ind w:firstLine="0"/>
        <w:rPr>
          <w:lang w:eastAsia="zh-CN"/>
        </w:rPr>
      </w:pPr>
      <w:r>
        <w:t>-</w:t>
      </w:r>
      <w:r>
        <w:rPr>
          <w:rFonts w:hint="eastAsia"/>
          <w:lang w:eastAsia="zh-CN"/>
        </w:rPr>
        <w:tab/>
      </w:r>
      <w:r>
        <w:t>New data indicator – 1 bit</w:t>
      </w:r>
    </w:p>
    <w:p w14:paraId="7CD9B3D6" w14:textId="77777777" w:rsidR="00CC25D6" w:rsidRDefault="00CC25D6" w:rsidP="00CC25D6">
      <w:pPr>
        <w:pStyle w:val="B1"/>
        <w:ind w:firstLine="0"/>
        <w:rPr>
          <w:lang w:eastAsia="zh-CN"/>
        </w:rPr>
      </w:pPr>
      <w:r>
        <w:t>-</w:t>
      </w:r>
      <w:r>
        <w:rPr>
          <w:rFonts w:hint="eastAsia"/>
          <w:lang w:eastAsia="zh-CN"/>
        </w:rPr>
        <w:tab/>
      </w:r>
      <w:r>
        <w:t>Redundancy version – 2 bits</w:t>
      </w:r>
      <w:r w:rsidRPr="000A6027">
        <w:t xml:space="preserve"> </w:t>
      </w:r>
      <w:r>
        <w:t>as defined in Table 7.3.1.1.1-2</w:t>
      </w:r>
    </w:p>
    <w:p w14:paraId="46D50D41" w14:textId="77777777" w:rsidR="00CC25D6" w:rsidRPr="001C415D" w:rsidRDefault="00CC25D6" w:rsidP="00CC25D6">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14:paraId="766A61D5" w14:textId="77777777" w:rsidR="00CC25D6" w:rsidRDefault="00CC25D6" w:rsidP="00CC25D6">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14:paraId="6A3825CE" w14:textId="77777777" w:rsidR="00CC25D6" w:rsidRDefault="00CC25D6" w:rsidP="00CC25D6">
      <w:pPr>
        <w:pStyle w:val="B1"/>
        <w:ind w:firstLine="0"/>
        <w:rPr>
          <w:lang w:eastAsia="zh-CN"/>
        </w:rPr>
      </w:pPr>
      <w:r>
        <w:t>-</w:t>
      </w:r>
      <w:r>
        <w:rPr>
          <w:rFonts w:hint="eastAsia"/>
          <w:lang w:eastAsia="zh-CN"/>
        </w:rPr>
        <w:tab/>
      </w:r>
      <w:r>
        <w:t>New data indicator – 1 bit</w:t>
      </w:r>
    </w:p>
    <w:p w14:paraId="070F52BD" w14:textId="77777777" w:rsidR="00CC25D6" w:rsidRDefault="00CC25D6" w:rsidP="00CC25D6">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14:paraId="71E5DCA5" w14:textId="77777777" w:rsidR="00CC25D6" w:rsidRDefault="00CC25D6" w:rsidP="00CC25D6">
      <w:pPr>
        <w:pStyle w:val="Text"/>
        <w:jc w:val="both"/>
        <w:rPr>
          <w:rFonts w:ascii="Times New Roman" w:hAnsi="Times New Roman"/>
          <w:sz w:val="24"/>
        </w:rPr>
      </w:pPr>
      <w:r>
        <w:rPr>
          <w:rFonts w:ascii="Times New Roman" w:hAnsi="Times New Roman"/>
          <w:sz w:val="24"/>
        </w:rPr>
        <w:lastRenderedPageBreak/>
        <w:t>That is the signaling overhead for the redundancy version is 2 bits per each transport block. Note that the RV indication in the DCI structure is taken from the legacy LTE/HSPA DCI structure.  However, we would like to mention that subblock interleaving and rate matching procedure are different for LDPC and turbo codes. For LDPC codes the starting position of each redundancy version is indicated in Table 6, and also shown as circular buffer in Figure 18.</w:t>
      </w:r>
    </w:p>
    <w:p w14:paraId="1A4EAACB" w14:textId="77777777" w:rsidR="00CC25D6" w:rsidRPr="005C26DA" w:rsidRDefault="00CC25D6" w:rsidP="00CC25D6">
      <w:pPr>
        <w:pStyle w:val="TH"/>
        <w:rPr>
          <w:lang w:eastAsia="zh-CN"/>
        </w:rPr>
      </w:pPr>
      <w:r>
        <w:t xml:space="preserve">Table </w:t>
      </w:r>
      <w:r>
        <w:rPr>
          <w:rFonts w:hint="eastAsia"/>
          <w:lang w:eastAsia="zh-CN"/>
        </w:rPr>
        <w:t>6:</w:t>
      </w:r>
      <w:r>
        <w:t xml:space="preserve"> </w:t>
      </w:r>
      <w:r>
        <w:rPr>
          <w:rFonts w:hint="eastAsia"/>
          <w:lang w:eastAsia="zh-CN"/>
        </w:rPr>
        <w:t xml:space="preserve">Starting position of different redundancy versions, </w:t>
      </w:r>
      <w:r w:rsidRPr="005C26DA">
        <w:rPr>
          <w:position w:val="-12"/>
        </w:rPr>
        <w:object w:dxaOrig="260" w:dyaOrig="360" w14:anchorId="0DA2B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5.55pt" o:ole="">
            <v:imagedata r:id="rId14" o:title=""/>
          </v:shape>
          <o:OLEObject Type="Embed" ProgID="Equation.3" ShapeID="_x0000_i1025" DrawAspect="Content" ObjectID="_1602680803" r:id="rId1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CC25D6" w14:paraId="32C438C9" w14:textId="77777777" w:rsidTr="0098330B">
        <w:trPr>
          <w:jc w:val="center"/>
        </w:trPr>
        <w:tc>
          <w:tcPr>
            <w:tcW w:w="2043" w:type="dxa"/>
            <w:vMerge w:val="restart"/>
            <w:shd w:val="clear" w:color="auto" w:fill="D9D9D9"/>
            <w:vAlign w:val="center"/>
          </w:tcPr>
          <w:p w14:paraId="56FAE32B" w14:textId="77777777" w:rsidR="00CC25D6" w:rsidRPr="005C26DA" w:rsidRDefault="00CC25D6" w:rsidP="0098330B">
            <w:pPr>
              <w:pStyle w:val="TAC"/>
              <w:rPr>
                <w:sz w:val="20"/>
                <w:lang w:eastAsia="zh-CN"/>
              </w:rPr>
            </w:pPr>
            <w:r w:rsidRPr="005C26DA">
              <w:rPr>
                <w:position w:val="-12"/>
                <w:sz w:val="20"/>
              </w:rPr>
              <w:object w:dxaOrig="400" w:dyaOrig="360" w14:anchorId="35FE4EC6">
                <v:shape id="_x0000_i1026" type="#_x0000_t75" style="width:17.85pt;height:15.55pt" o:ole="">
                  <v:imagedata r:id="rId16" o:title=""/>
                </v:shape>
                <o:OLEObject Type="Embed" ProgID="Equation.3" ShapeID="_x0000_i1026" DrawAspect="Content" ObjectID="_1602680804" r:id="rId17"/>
              </w:object>
            </w:r>
          </w:p>
        </w:tc>
        <w:tc>
          <w:tcPr>
            <w:tcW w:w="4136" w:type="dxa"/>
            <w:gridSpan w:val="2"/>
            <w:shd w:val="clear" w:color="auto" w:fill="D9D9D9"/>
            <w:vAlign w:val="center"/>
          </w:tcPr>
          <w:p w14:paraId="71E9D604" w14:textId="77777777" w:rsidR="00CC25D6" w:rsidRPr="005C26DA" w:rsidRDefault="00CC25D6" w:rsidP="0098330B">
            <w:pPr>
              <w:pStyle w:val="TAC"/>
              <w:rPr>
                <w:sz w:val="20"/>
              </w:rPr>
            </w:pPr>
            <w:r w:rsidRPr="005C26DA">
              <w:rPr>
                <w:position w:val="-12"/>
                <w:sz w:val="20"/>
              </w:rPr>
              <w:object w:dxaOrig="260" w:dyaOrig="360" w14:anchorId="7820CDE7">
                <v:shape id="_x0000_i1027" type="#_x0000_t75" style="width:11.5pt;height:15.55pt" o:ole="">
                  <v:imagedata r:id="rId18" o:title=""/>
                </v:shape>
                <o:OLEObject Type="Embed" ProgID="Equation.3" ShapeID="_x0000_i1027" DrawAspect="Content" ObjectID="_1602680805" r:id="rId19"/>
              </w:object>
            </w:r>
          </w:p>
        </w:tc>
      </w:tr>
      <w:tr w:rsidR="00CC25D6" w14:paraId="73562B07" w14:textId="77777777" w:rsidTr="0098330B">
        <w:trPr>
          <w:jc w:val="center"/>
        </w:trPr>
        <w:tc>
          <w:tcPr>
            <w:tcW w:w="2043" w:type="dxa"/>
            <w:vMerge/>
            <w:shd w:val="clear" w:color="auto" w:fill="D9D9D9"/>
            <w:vAlign w:val="center"/>
          </w:tcPr>
          <w:p w14:paraId="2CC34F10" w14:textId="77777777" w:rsidR="00CC25D6" w:rsidRPr="005C26DA" w:rsidRDefault="00CC25D6" w:rsidP="0098330B">
            <w:pPr>
              <w:pStyle w:val="TAC"/>
              <w:rPr>
                <w:sz w:val="20"/>
              </w:rPr>
            </w:pPr>
          </w:p>
        </w:tc>
        <w:tc>
          <w:tcPr>
            <w:tcW w:w="2068" w:type="dxa"/>
            <w:shd w:val="clear" w:color="auto" w:fill="D9D9D9"/>
            <w:vAlign w:val="center"/>
          </w:tcPr>
          <w:p w14:paraId="5BBCDCB2" w14:textId="77777777" w:rsidR="00CC25D6" w:rsidRPr="005C26DA" w:rsidRDefault="00CC25D6" w:rsidP="0098330B">
            <w:pPr>
              <w:pStyle w:val="TAC"/>
              <w:rPr>
                <w:sz w:val="20"/>
                <w:lang w:eastAsia="zh-CN"/>
              </w:rPr>
            </w:pPr>
            <w:r>
              <w:rPr>
                <w:rFonts w:hint="eastAsia"/>
                <w:sz w:val="20"/>
                <w:lang w:eastAsia="zh-CN"/>
              </w:rPr>
              <w:t>Base graph 1</w:t>
            </w:r>
          </w:p>
        </w:tc>
        <w:tc>
          <w:tcPr>
            <w:tcW w:w="2068" w:type="dxa"/>
            <w:shd w:val="clear" w:color="auto" w:fill="D9D9D9"/>
          </w:tcPr>
          <w:p w14:paraId="776B883B" w14:textId="77777777" w:rsidR="00CC25D6" w:rsidRPr="005C26DA" w:rsidRDefault="00CC25D6" w:rsidP="0098330B">
            <w:pPr>
              <w:pStyle w:val="TAC"/>
              <w:rPr>
                <w:sz w:val="20"/>
                <w:lang w:eastAsia="zh-CN"/>
              </w:rPr>
            </w:pPr>
            <w:r>
              <w:rPr>
                <w:rFonts w:hint="eastAsia"/>
                <w:sz w:val="20"/>
                <w:lang w:eastAsia="zh-CN"/>
              </w:rPr>
              <w:t>Base graph 2</w:t>
            </w:r>
          </w:p>
        </w:tc>
      </w:tr>
      <w:tr w:rsidR="00CC25D6" w14:paraId="5AB7E730" w14:textId="77777777" w:rsidTr="0098330B">
        <w:trPr>
          <w:jc w:val="center"/>
        </w:trPr>
        <w:tc>
          <w:tcPr>
            <w:tcW w:w="2043" w:type="dxa"/>
            <w:shd w:val="clear" w:color="auto" w:fill="D9D9D9"/>
            <w:vAlign w:val="center"/>
          </w:tcPr>
          <w:p w14:paraId="4BBDA573" w14:textId="77777777" w:rsidR="00CC25D6" w:rsidRPr="005C26DA" w:rsidRDefault="00CC25D6" w:rsidP="0098330B">
            <w:pPr>
              <w:pStyle w:val="TAC"/>
              <w:rPr>
                <w:sz w:val="20"/>
                <w:lang w:eastAsia="zh-CN"/>
              </w:rPr>
            </w:pPr>
            <w:r w:rsidRPr="005C26DA">
              <w:rPr>
                <w:rFonts w:hint="eastAsia"/>
                <w:sz w:val="20"/>
                <w:lang w:eastAsia="zh-CN"/>
              </w:rPr>
              <w:t>0</w:t>
            </w:r>
          </w:p>
        </w:tc>
        <w:tc>
          <w:tcPr>
            <w:tcW w:w="2068" w:type="dxa"/>
            <w:vAlign w:val="center"/>
          </w:tcPr>
          <w:p w14:paraId="45811AFF" w14:textId="77777777" w:rsidR="00CC25D6" w:rsidRPr="005C26DA" w:rsidRDefault="00CC25D6" w:rsidP="0098330B">
            <w:pPr>
              <w:pStyle w:val="TAC"/>
              <w:rPr>
                <w:sz w:val="20"/>
                <w:lang w:eastAsia="zh-CN"/>
              </w:rPr>
            </w:pPr>
            <w:r w:rsidRPr="003C6BF2">
              <w:rPr>
                <w:position w:val="-6"/>
              </w:rPr>
              <w:object w:dxaOrig="200" w:dyaOrig="279" w14:anchorId="1D881E2A">
                <v:shape id="_x0000_i1028" type="#_x0000_t75" style="width:9.2pt;height:12.65pt" o:ole="">
                  <v:imagedata r:id="rId20" o:title=""/>
                </v:shape>
                <o:OLEObject Type="Embed" ProgID="Equation.3" ShapeID="_x0000_i1028" DrawAspect="Content" ObjectID="_1602680806" r:id="rId21"/>
              </w:object>
            </w:r>
          </w:p>
        </w:tc>
        <w:tc>
          <w:tcPr>
            <w:tcW w:w="2068" w:type="dxa"/>
            <w:vAlign w:val="center"/>
          </w:tcPr>
          <w:p w14:paraId="04F589E6" w14:textId="77777777" w:rsidR="00CC25D6" w:rsidRPr="005C26DA" w:rsidRDefault="00CC25D6" w:rsidP="0098330B">
            <w:pPr>
              <w:pStyle w:val="TAC"/>
              <w:rPr>
                <w:sz w:val="20"/>
                <w:lang w:eastAsia="zh-CN"/>
              </w:rPr>
            </w:pPr>
            <w:r w:rsidRPr="003C6BF2">
              <w:rPr>
                <w:position w:val="-6"/>
              </w:rPr>
              <w:object w:dxaOrig="200" w:dyaOrig="279" w14:anchorId="09FA05DB">
                <v:shape id="_x0000_i1029" type="#_x0000_t75" style="width:9.2pt;height:12.65pt" o:ole="">
                  <v:imagedata r:id="rId22" o:title=""/>
                </v:shape>
                <o:OLEObject Type="Embed" ProgID="Equation.3" ShapeID="_x0000_i1029" DrawAspect="Content" ObjectID="_1602680807" r:id="rId23"/>
              </w:object>
            </w:r>
          </w:p>
        </w:tc>
      </w:tr>
      <w:tr w:rsidR="00CC25D6" w14:paraId="68EF37AF" w14:textId="77777777" w:rsidTr="0098330B">
        <w:trPr>
          <w:jc w:val="center"/>
        </w:trPr>
        <w:tc>
          <w:tcPr>
            <w:tcW w:w="2043" w:type="dxa"/>
            <w:shd w:val="clear" w:color="auto" w:fill="D9D9D9"/>
            <w:vAlign w:val="center"/>
          </w:tcPr>
          <w:p w14:paraId="5C2D03D6" w14:textId="77777777" w:rsidR="00CC25D6" w:rsidRPr="005C26DA" w:rsidRDefault="00CC25D6" w:rsidP="0098330B">
            <w:pPr>
              <w:pStyle w:val="TAC"/>
              <w:rPr>
                <w:sz w:val="20"/>
                <w:lang w:eastAsia="zh-CN"/>
              </w:rPr>
            </w:pPr>
            <w:r w:rsidRPr="005C26DA">
              <w:rPr>
                <w:rFonts w:hint="eastAsia"/>
                <w:sz w:val="20"/>
                <w:lang w:eastAsia="zh-CN"/>
              </w:rPr>
              <w:t>1</w:t>
            </w:r>
          </w:p>
        </w:tc>
        <w:tc>
          <w:tcPr>
            <w:tcW w:w="2068" w:type="dxa"/>
            <w:vAlign w:val="center"/>
          </w:tcPr>
          <w:p w14:paraId="45F91C0F" w14:textId="77777777" w:rsidR="00CC25D6" w:rsidRPr="005C26DA" w:rsidRDefault="00CC25D6" w:rsidP="0098330B">
            <w:pPr>
              <w:pStyle w:val="TAC"/>
              <w:rPr>
                <w:sz w:val="20"/>
                <w:lang w:eastAsia="zh-CN"/>
              </w:rPr>
            </w:pPr>
            <w:r w:rsidRPr="00900196">
              <w:rPr>
                <w:position w:val="-32"/>
              </w:rPr>
              <w:object w:dxaOrig="1120" w:dyaOrig="760" w14:anchorId="57BF58CE">
                <v:shape id="_x0000_i1030" type="#_x0000_t75" style="width:49.55pt;height:34pt" o:ole="">
                  <v:imagedata r:id="rId24" o:title=""/>
                </v:shape>
                <o:OLEObject Type="Embed" ProgID="Equation.3" ShapeID="_x0000_i1030" DrawAspect="Content" ObjectID="_1602680808" r:id="rId25"/>
              </w:object>
            </w:r>
          </w:p>
        </w:tc>
        <w:tc>
          <w:tcPr>
            <w:tcW w:w="2068" w:type="dxa"/>
            <w:vAlign w:val="center"/>
          </w:tcPr>
          <w:p w14:paraId="00B633D6" w14:textId="77777777" w:rsidR="00CC25D6" w:rsidRPr="005C26DA" w:rsidRDefault="00CC25D6" w:rsidP="0098330B">
            <w:pPr>
              <w:pStyle w:val="TAC"/>
              <w:rPr>
                <w:sz w:val="20"/>
                <w:lang w:eastAsia="zh-CN"/>
              </w:rPr>
            </w:pPr>
            <w:r w:rsidRPr="00900196">
              <w:rPr>
                <w:position w:val="-32"/>
              </w:rPr>
              <w:object w:dxaOrig="1100" w:dyaOrig="760" w14:anchorId="62BEC428">
                <v:shape id="_x0000_i1031" type="#_x0000_t75" style="width:48.95pt;height:34pt" o:ole="">
                  <v:imagedata r:id="rId26" o:title=""/>
                </v:shape>
                <o:OLEObject Type="Embed" ProgID="Equation.3" ShapeID="_x0000_i1031" DrawAspect="Content" ObjectID="_1602680809" r:id="rId27"/>
              </w:object>
            </w:r>
          </w:p>
        </w:tc>
      </w:tr>
      <w:tr w:rsidR="00CC25D6" w14:paraId="464AD695" w14:textId="77777777" w:rsidTr="0098330B">
        <w:trPr>
          <w:jc w:val="center"/>
        </w:trPr>
        <w:tc>
          <w:tcPr>
            <w:tcW w:w="2043" w:type="dxa"/>
            <w:shd w:val="clear" w:color="auto" w:fill="D9D9D9"/>
            <w:vAlign w:val="center"/>
          </w:tcPr>
          <w:p w14:paraId="3C383574" w14:textId="77777777" w:rsidR="00CC25D6" w:rsidRPr="005C26DA" w:rsidRDefault="00CC25D6" w:rsidP="0098330B">
            <w:pPr>
              <w:pStyle w:val="TAC"/>
              <w:rPr>
                <w:sz w:val="20"/>
                <w:lang w:eastAsia="zh-CN"/>
              </w:rPr>
            </w:pPr>
            <w:r w:rsidRPr="005C26DA">
              <w:rPr>
                <w:rFonts w:hint="eastAsia"/>
                <w:sz w:val="20"/>
                <w:lang w:eastAsia="zh-CN"/>
              </w:rPr>
              <w:t>2</w:t>
            </w:r>
          </w:p>
        </w:tc>
        <w:tc>
          <w:tcPr>
            <w:tcW w:w="2068" w:type="dxa"/>
            <w:vAlign w:val="center"/>
          </w:tcPr>
          <w:p w14:paraId="53677244" w14:textId="77777777" w:rsidR="00CC25D6" w:rsidRPr="005C26DA" w:rsidRDefault="00CC25D6" w:rsidP="0098330B">
            <w:pPr>
              <w:pStyle w:val="TAC"/>
              <w:rPr>
                <w:sz w:val="20"/>
                <w:lang w:eastAsia="zh-CN"/>
              </w:rPr>
            </w:pPr>
            <w:r w:rsidRPr="00900196">
              <w:rPr>
                <w:position w:val="-32"/>
              </w:rPr>
              <w:object w:dxaOrig="1120" w:dyaOrig="760" w14:anchorId="4B780CE5">
                <v:shape id="_x0000_i1032" type="#_x0000_t75" style="width:49.55pt;height:34pt" o:ole="">
                  <v:imagedata r:id="rId28" o:title=""/>
                </v:shape>
                <o:OLEObject Type="Embed" ProgID="Equation.3" ShapeID="_x0000_i1032" DrawAspect="Content" ObjectID="_1602680810" r:id="rId29"/>
              </w:object>
            </w:r>
          </w:p>
        </w:tc>
        <w:tc>
          <w:tcPr>
            <w:tcW w:w="2068" w:type="dxa"/>
            <w:vAlign w:val="center"/>
          </w:tcPr>
          <w:p w14:paraId="42976D59" w14:textId="77777777" w:rsidR="00CC25D6" w:rsidRPr="005C26DA" w:rsidRDefault="00CC25D6" w:rsidP="0098330B">
            <w:pPr>
              <w:pStyle w:val="TAC"/>
              <w:rPr>
                <w:sz w:val="20"/>
                <w:lang w:eastAsia="zh-CN"/>
              </w:rPr>
            </w:pPr>
            <w:r w:rsidRPr="00900196">
              <w:rPr>
                <w:position w:val="-32"/>
              </w:rPr>
              <w:object w:dxaOrig="1140" w:dyaOrig="760" w14:anchorId="57938947">
                <v:shape id="_x0000_i1033" type="#_x0000_t75" style="width:50.7pt;height:34pt" o:ole="">
                  <v:imagedata r:id="rId30" o:title=""/>
                </v:shape>
                <o:OLEObject Type="Embed" ProgID="Equation.3" ShapeID="_x0000_i1033" DrawAspect="Content" ObjectID="_1602680811" r:id="rId31"/>
              </w:object>
            </w:r>
          </w:p>
        </w:tc>
      </w:tr>
      <w:tr w:rsidR="00CC25D6" w14:paraId="1849D6AC" w14:textId="77777777" w:rsidTr="0098330B">
        <w:trPr>
          <w:jc w:val="center"/>
        </w:trPr>
        <w:tc>
          <w:tcPr>
            <w:tcW w:w="2043" w:type="dxa"/>
            <w:shd w:val="clear" w:color="auto" w:fill="D9D9D9"/>
            <w:vAlign w:val="center"/>
          </w:tcPr>
          <w:p w14:paraId="4016F782" w14:textId="77777777" w:rsidR="00CC25D6" w:rsidRPr="005C26DA" w:rsidRDefault="00CC25D6" w:rsidP="0098330B">
            <w:pPr>
              <w:pStyle w:val="TAC"/>
              <w:rPr>
                <w:sz w:val="20"/>
                <w:lang w:eastAsia="zh-CN"/>
              </w:rPr>
            </w:pPr>
            <w:r w:rsidRPr="005C26DA">
              <w:rPr>
                <w:rFonts w:hint="eastAsia"/>
                <w:sz w:val="20"/>
                <w:lang w:eastAsia="zh-CN"/>
              </w:rPr>
              <w:t>3</w:t>
            </w:r>
          </w:p>
        </w:tc>
        <w:tc>
          <w:tcPr>
            <w:tcW w:w="2068" w:type="dxa"/>
            <w:vAlign w:val="center"/>
          </w:tcPr>
          <w:p w14:paraId="4C2206D9" w14:textId="77777777" w:rsidR="00CC25D6" w:rsidRPr="005C26DA" w:rsidRDefault="00CC25D6" w:rsidP="0098330B">
            <w:pPr>
              <w:pStyle w:val="TAC"/>
              <w:rPr>
                <w:sz w:val="20"/>
                <w:lang w:eastAsia="zh-CN"/>
              </w:rPr>
            </w:pPr>
            <w:r w:rsidRPr="00900196">
              <w:rPr>
                <w:position w:val="-32"/>
              </w:rPr>
              <w:object w:dxaOrig="1140" w:dyaOrig="760" w14:anchorId="52064BB3">
                <v:shape id="_x0000_i1034" type="#_x0000_t75" style="width:50.7pt;height:34pt" o:ole="">
                  <v:imagedata r:id="rId32" o:title=""/>
                </v:shape>
                <o:OLEObject Type="Embed" ProgID="Equation.3" ShapeID="_x0000_i1034" DrawAspect="Content" ObjectID="_1602680812" r:id="rId33"/>
              </w:object>
            </w:r>
          </w:p>
        </w:tc>
        <w:tc>
          <w:tcPr>
            <w:tcW w:w="2068" w:type="dxa"/>
            <w:vAlign w:val="center"/>
          </w:tcPr>
          <w:p w14:paraId="506D9DC1" w14:textId="77777777" w:rsidR="00CC25D6" w:rsidRPr="005C26DA" w:rsidRDefault="00CC25D6" w:rsidP="0098330B">
            <w:pPr>
              <w:pStyle w:val="TAC"/>
              <w:rPr>
                <w:sz w:val="20"/>
                <w:lang w:eastAsia="zh-CN"/>
              </w:rPr>
            </w:pPr>
            <w:r w:rsidRPr="00900196">
              <w:rPr>
                <w:position w:val="-32"/>
              </w:rPr>
              <w:object w:dxaOrig="1140" w:dyaOrig="760" w14:anchorId="5692E2E0">
                <v:shape id="_x0000_i1035" type="#_x0000_t75" style="width:50.7pt;height:34pt" o:ole="">
                  <v:imagedata r:id="rId34" o:title=""/>
                </v:shape>
                <o:OLEObject Type="Embed" ProgID="Equation.3" ShapeID="_x0000_i1035" DrawAspect="Content" ObjectID="_1602680813" r:id="rId35"/>
              </w:object>
            </w:r>
          </w:p>
        </w:tc>
      </w:tr>
    </w:tbl>
    <w:p w14:paraId="63BD4AFD" w14:textId="77777777" w:rsidR="00CC25D6" w:rsidRDefault="00CC25D6" w:rsidP="00CC25D6">
      <w:pPr>
        <w:rPr>
          <w:rFonts w:cs="Arial"/>
          <w:sz w:val="28"/>
          <w:szCs w:val="28"/>
        </w:rPr>
      </w:pPr>
    </w:p>
    <w:p w14:paraId="6FF2C930" w14:textId="77777777" w:rsidR="00CC25D6" w:rsidRDefault="00CC25D6" w:rsidP="00CC25D6">
      <w:pPr>
        <w:jc w:val="both"/>
        <w:rPr>
          <w:rFonts w:cs="Arial"/>
          <w:sz w:val="28"/>
          <w:szCs w:val="28"/>
        </w:rPr>
      </w:pPr>
    </w:p>
    <w:p w14:paraId="501D2B40" w14:textId="77777777" w:rsidR="00CC25D6" w:rsidRDefault="00CC25D6" w:rsidP="00CC25D6">
      <w:r>
        <w:rPr>
          <w:noProof/>
        </w:rPr>
        <mc:AlternateContent>
          <mc:Choice Requires="wps">
            <w:drawing>
              <wp:anchor distT="0" distB="0" distL="114300" distR="114300" simplePos="0" relativeHeight="251666432" behindDoc="0" locked="0" layoutInCell="1" allowOverlap="1" wp14:anchorId="55AEA4B3" wp14:editId="27F13E65">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1684D7" w14:textId="77777777" w:rsidR="00CC25D6" w:rsidRPr="00A62CC1" w:rsidRDefault="00CC25D6" w:rsidP="00CC25D6">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AEA4B3"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14:paraId="5C1684D7" w14:textId="77777777" w:rsidR="00CC25D6" w:rsidRPr="00A62CC1" w:rsidRDefault="00CC25D6" w:rsidP="00CC25D6">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6CF37A96" wp14:editId="53B2BAC9">
                <wp:simplePos x="0" y="0"/>
                <wp:positionH relativeFrom="margin">
                  <wp:posOffset>1935582</wp:posOffset>
                </wp:positionH>
                <wp:positionV relativeFrom="paragraph">
                  <wp:posOffset>80137</wp:posOffset>
                </wp:positionV>
                <wp:extent cx="1982419" cy="1374775"/>
                <wp:effectExtent l="0" t="0" r="18415" b="15875"/>
                <wp:wrapNone/>
                <wp:docPr id="10" name="Donut 10"/>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5AE9B" w14:textId="77777777" w:rsidR="00CC25D6" w:rsidRPr="00A62CC1" w:rsidRDefault="00CC25D6" w:rsidP="00CC25D6">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F37A96"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10"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EfzcmnQIAAL4FAAAOAAAAAAAAAAAAAAAAAC4CAABkcnMv&#10;ZTJvRG9jLnhtbFBLAQItABQABgAIAAAAIQAa98fy3gAAAAoBAAAPAAAAAAAAAAAAAAAAAPcEAABk&#10;cnMvZG93bnJldi54bWxQSwUGAAAAAAQABADzAAAAAgYAAAAA&#10;" adj="3745" fillcolor="white [3212]" strokecolor="black [3213]" strokeweight="1pt">
                <v:stroke joinstyle="miter"/>
                <v:textbox>
                  <w:txbxContent>
                    <w:p w14:paraId="1385AE9B" w14:textId="77777777" w:rsidR="00CC25D6" w:rsidRPr="00A62CC1" w:rsidRDefault="00CC25D6" w:rsidP="00CC25D6">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0AB49940" wp14:editId="4D67D2C3">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32C6FC"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14:paraId="0A1116FC" w14:textId="77777777" w:rsidR="00CC25D6" w:rsidRDefault="00CC25D6" w:rsidP="00CC25D6"/>
    <w:p w14:paraId="4CAB8821" w14:textId="77777777" w:rsidR="00CC25D6" w:rsidRDefault="00CC25D6" w:rsidP="00CC25D6">
      <w:r>
        <w:rPr>
          <w:noProof/>
        </w:rPr>
        <mc:AlternateContent>
          <mc:Choice Requires="wps">
            <w:drawing>
              <wp:anchor distT="0" distB="0" distL="114300" distR="114300" simplePos="0" relativeHeight="251663360" behindDoc="0" locked="0" layoutInCell="1" allowOverlap="1" wp14:anchorId="230D6A9E" wp14:editId="54BFF8D4">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BFCC2" w14:textId="77777777" w:rsidR="00CC25D6" w:rsidRPr="00A62CC1" w:rsidRDefault="00CC25D6" w:rsidP="00CC25D6">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0D6A9E"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14:paraId="278BFCC2" w14:textId="77777777" w:rsidR="00CC25D6" w:rsidRPr="00A62CC1" w:rsidRDefault="00CC25D6" w:rsidP="00CC25D6">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63B9B727" wp14:editId="66B440B6">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A28945"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14:paraId="6B9237DF" w14:textId="77777777" w:rsidR="00CC25D6" w:rsidRDefault="00CC25D6" w:rsidP="00CC25D6">
      <w:r>
        <w:rPr>
          <w:noProof/>
        </w:rPr>
        <mc:AlternateContent>
          <mc:Choice Requires="wps">
            <w:drawing>
              <wp:anchor distT="0" distB="0" distL="114300" distR="114300" simplePos="0" relativeHeight="251664384" behindDoc="0" locked="0" layoutInCell="1" allowOverlap="1" wp14:anchorId="2C237563" wp14:editId="675B26B0">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6DF9D9" w14:textId="77777777" w:rsidR="00CC25D6" w:rsidRPr="00A62CC1" w:rsidRDefault="00CC25D6" w:rsidP="00CC25D6">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237563"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14:paraId="186DF9D9" w14:textId="77777777" w:rsidR="00CC25D6" w:rsidRPr="00A62CC1" w:rsidRDefault="00CC25D6" w:rsidP="00CC25D6">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EE811F8" wp14:editId="18061D61">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3AB7F7"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14:paraId="637656B4" w14:textId="77777777" w:rsidR="00CC25D6" w:rsidRDefault="00CC25D6" w:rsidP="00CC25D6">
      <w:r>
        <w:rPr>
          <w:noProof/>
        </w:rPr>
        <mc:AlternateContent>
          <mc:Choice Requires="wps">
            <w:drawing>
              <wp:anchor distT="0" distB="0" distL="114300" distR="114300" simplePos="0" relativeHeight="251667456" behindDoc="0" locked="0" layoutInCell="1" allowOverlap="1" wp14:anchorId="3DA1D440" wp14:editId="04587611">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E97706" w14:textId="77777777" w:rsidR="00CC25D6" w:rsidRPr="00A62CC1" w:rsidRDefault="00CC25D6" w:rsidP="00CC25D6">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A1D440"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14:paraId="57E97706" w14:textId="77777777" w:rsidR="00CC25D6" w:rsidRPr="00A62CC1" w:rsidRDefault="00CC25D6" w:rsidP="00CC25D6">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50B62358" wp14:editId="7676D782">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4EC8B1"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14:paraId="4DE9186C" w14:textId="77777777" w:rsidR="00CC25D6" w:rsidRDefault="00CC25D6" w:rsidP="00CC25D6">
      <w:r>
        <w:rPr>
          <w:noProof/>
        </w:rPr>
        <mc:AlternateContent>
          <mc:Choice Requires="wps">
            <w:drawing>
              <wp:anchor distT="0" distB="0" distL="114300" distR="114300" simplePos="0" relativeHeight="251668480" behindDoc="0" locked="0" layoutInCell="1" allowOverlap="1" wp14:anchorId="48368FAF" wp14:editId="70331758">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14:paraId="27FA665E" w14:textId="77777777" w:rsidR="00CC25D6" w:rsidRPr="00ED7E5E" w:rsidRDefault="00CC25D6" w:rsidP="00CC25D6">
                            <w:pPr>
                              <w:pStyle w:val="Caption"/>
                              <w:jc w:val="center"/>
                              <w:rPr>
                                <w:noProof/>
                              </w:rPr>
                            </w:pPr>
                            <w:r>
                              <w:t xml:space="preserve">Figure 18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8368FAF"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14:paraId="27FA665E" w14:textId="77777777" w:rsidR="00CC25D6" w:rsidRPr="00ED7E5E" w:rsidRDefault="00CC25D6" w:rsidP="00CC25D6">
                      <w:pPr>
                        <w:pStyle w:val="Caption"/>
                        <w:jc w:val="center"/>
                        <w:rPr>
                          <w:noProof/>
                        </w:rPr>
                      </w:pPr>
                      <w:r>
                        <w:t xml:space="preserve">Figure 18 </w:t>
                      </w:r>
                      <w:r>
                        <w:rPr>
                          <w:noProof/>
                        </w:rPr>
                        <w:t>Redundancy versions using circular buffer</w:t>
                      </w:r>
                    </w:p>
                  </w:txbxContent>
                </v:textbox>
              </v:shape>
            </w:pict>
          </mc:Fallback>
        </mc:AlternateContent>
      </w:r>
    </w:p>
    <w:p w14:paraId="025AC9B2" w14:textId="77777777" w:rsidR="00CC25D6" w:rsidRDefault="00CC25D6" w:rsidP="00CC25D6">
      <w:pPr>
        <w:jc w:val="both"/>
        <w:rPr>
          <w:rFonts w:cs="Arial"/>
          <w:sz w:val="28"/>
          <w:szCs w:val="28"/>
        </w:rPr>
      </w:pPr>
    </w:p>
    <w:p w14:paraId="6FF858B3" w14:textId="77777777" w:rsidR="00CC25D6" w:rsidRDefault="00CC25D6" w:rsidP="00CC25D6">
      <w:pPr>
        <w:jc w:val="both"/>
        <w:rPr>
          <w:rFonts w:cs="Arial"/>
          <w:sz w:val="24"/>
          <w:szCs w:val="28"/>
        </w:rPr>
      </w:pPr>
      <w:r w:rsidRPr="0068226F">
        <w:rPr>
          <w:rFonts w:cs="Arial"/>
          <w:sz w:val="24"/>
          <w:szCs w:val="28"/>
        </w:rPr>
        <w:t xml:space="preserve">In NR, for each transmission, the network needs to inform to the UE which redundancy version it is currently scheduling.  From simulations, we observed that the only few redundancy versions (RV0 and RV3) are self-decodable for all code rates.  From network perspective, we observed that first transmission always uses RV0, since the systematic bits are sent in RV0 and it is beneficial to send RV0 in the first transmission. However, if we send RV0 in initial transmission irrespective of </w:t>
      </w:r>
      <w:r>
        <w:rPr>
          <w:rFonts w:cs="Arial"/>
          <w:sz w:val="24"/>
          <w:szCs w:val="28"/>
        </w:rPr>
        <w:t xml:space="preserve">the </w:t>
      </w:r>
      <w:r w:rsidRPr="0068226F">
        <w:rPr>
          <w:rFonts w:cs="Arial"/>
          <w:sz w:val="24"/>
          <w:szCs w:val="28"/>
        </w:rPr>
        <w:t xml:space="preserve">deployment or the UE channel characteristics, we feel that there is no need to indicate RV0 in the first transmission (new transmission).  </w:t>
      </w:r>
    </w:p>
    <w:p w14:paraId="256FBD39" w14:textId="15992E2D" w:rsidR="00CC25D6" w:rsidRPr="0068226F" w:rsidRDefault="00CC25D6" w:rsidP="00CC25D6">
      <w:pPr>
        <w:jc w:val="both"/>
        <w:rPr>
          <w:sz w:val="18"/>
        </w:rPr>
      </w:pPr>
      <w:r>
        <w:rPr>
          <w:rFonts w:cs="Arial"/>
          <w:sz w:val="24"/>
          <w:szCs w:val="28"/>
        </w:rPr>
        <w:t xml:space="preserve">For the </w:t>
      </w:r>
      <w:r w:rsidRPr="0068226F">
        <w:rPr>
          <w:rFonts w:cs="Arial"/>
          <w:sz w:val="24"/>
          <w:szCs w:val="28"/>
        </w:rPr>
        <w:t>first transmission, the network can use the following structure to indicate RV0.</w:t>
      </w:r>
    </w:p>
    <w:p w14:paraId="4ABAF75E" w14:textId="4BFBCAA0" w:rsidR="00CC25D6" w:rsidRPr="0068226F" w:rsidRDefault="00CC25D6" w:rsidP="00CC25D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The </w:t>
      </w:r>
      <w:r w:rsidRPr="0068226F">
        <w:rPr>
          <w:rFonts w:ascii="Times New Roman" w:hAnsi="Times New Roman"/>
          <w:color w:val="000000" w:themeColor="text1"/>
          <w:sz w:val="24"/>
          <w:szCs w:val="24"/>
        </w:rPr>
        <w:t xml:space="preserve">first transmission is indicated using a bit called New Data Indicator (NDI) for each TB. This implies that for the first transmission, without indicating RV explicitly, we can use NDI bit so that UE knows that this is first transmission and use </w:t>
      </w:r>
      <w:r w:rsidRPr="0068226F">
        <w:rPr>
          <w:rFonts w:ascii="Times New Roman" w:hAnsi="Times New Roman"/>
          <w:b/>
          <w:color w:val="000000" w:themeColor="text1"/>
          <w:sz w:val="24"/>
          <w:szCs w:val="24"/>
        </w:rPr>
        <w:t xml:space="preserve">RV0 </w:t>
      </w:r>
      <w:r w:rsidRPr="0068226F">
        <w:rPr>
          <w:rFonts w:ascii="Times New Roman" w:hAnsi="Times New Roman"/>
          <w:color w:val="000000" w:themeColor="text1"/>
          <w:sz w:val="24"/>
          <w:szCs w:val="24"/>
        </w:rPr>
        <w:t>for this transmission.  i.e. whenever the NDI bit is toggled from previous successful transmission, it implies that RV0 is being used for the transmission. Hence we can save 2 bits for each TB for the first transmission.</w:t>
      </w:r>
    </w:p>
    <w:p w14:paraId="01B0ABD1" w14:textId="77777777" w:rsidR="00CC25D6" w:rsidRPr="0068226F" w:rsidRDefault="00CC25D6" w:rsidP="00CC25D6">
      <w:pPr>
        <w:pStyle w:val="Text"/>
        <w:keepNext/>
        <w:rPr>
          <w:sz w:val="18"/>
        </w:rPr>
      </w:pPr>
    </w:p>
    <w:p w14:paraId="71BC1C28" w14:textId="77777777" w:rsidR="00CC25D6" w:rsidRDefault="00CC25D6" w:rsidP="00CC25D6"/>
    <w:p w14:paraId="58912351" w14:textId="77777777" w:rsidR="00CC25D6" w:rsidRDefault="00CC25D6" w:rsidP="00CC25D6">
      <w:r>
        <w:rPr>
          <w:noProof/>
        </w:rPr>
        <w:lastRenderedPageBreak/>
        <mc:AlternateContent>
          <mc:Choice Requires="wps">
            <w:drawing>
              <wp:anchor distT="0" distB="0" distL="114300" distR="114300" simplePos="0" relativeHeight="251672576" behindDoc="0" locked="0" layoutInCell="1" allowOverlap="1" wp14:anchorId="731384F3" wp14:editId="4EE05364">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14:paraId="4A4753A8" w14:textId="77777777" w:rsidR="00CC25D6" w:rsidRDefault="00CC25D6" w:rsidP="00CC25D6">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31384F3" id="Rectangle 62" o:spid="_x0000_s1032" style="position:absolute;margin-left:62.95pt;margin-top:3.55pt;width:373.85pt;height: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14:paraId="4A4753A8" w14:textId="77777777" w:rsidR="00CC25D6" w:rsidRDefault="00CC25D6" w:rsidP="00CC25D6">
                      <w:r>
                        <w:t xml:space="preserve">           DCI without RV for each TB, NDI=1 indicate RV0</w:t>
                      </w:r>
                    </w:p>
                  </w:txbxContent>
                </v:textbox>
              </v:rect>
            </w:pict>
          </mc:Fallback>
        </mc:AlternateContent>
      </w:r>
    </w:p>
    <w:p w14:paraId="5304C3D9" w14:textId="77777777" w:rsidR="00CC25D6" w:rsidRDefault="00CC25D6" w:rsidP="00CC25D6"/>
    <w:p w14:paraId="78DA4B79" w14:textId="77777777" w:rsidR="00CC25D6" w:rsidRDefault="00CC25D6" w:rsidP="00CC25D6">
      <w:pPr>
        <w:pStyle w:val="Caption"/>
        <w:ind w:left="1440" w:firstLine="720"/>
        <w:rPr>
          <w:b w:val="0"/>
          <w:i/>
          <w:color w:val="000000" w:themeColor="text1"/>
        </w:rPr>
      </w:pPr>
    </w:p>
    <w:p w14:paraId="698E5385" w14:textId="77777777" w:rsidR="00CC25D6" w:rsidRPr="00D8506E" w:rsidRDefault="00CC25D6" w:rsidP="00CC25D6">
      <w:pPr>
        <w:pStyle w:val="Caption"/>
        <w:ind w:left="720"/>
        <w:rPr>
          <w:b w:val="0"/>
          <w:i/>
          <w:color w:val="000000" w:themeColor="text1"/>
        </w:rPr>
      </w:pPr>
      <w:r>
        <w:rPr>
          <w:color w:val="000000" w:themeColor="text1"/>
        </w:rPr>
        <w:t>Figure 19</w:t>
      </w:r>
      <w:r w:rsidRPr="00D8506E">
        <w:rPr>
          <w:color w:val="000000" w:themeColor="text1"/>
        </w:rPr>
        <w:t xml:space="preserve"> </w:t>
      </w:r>
      <w:r>
        <w:rPr>
          <w:color w:val="000000" w:themeColor="text1"/>
        </w:rPr>
        <w:t>Downlink control channel structure for the first transmission</w:t>
      </w:r>
    </w:p>
    <w:p w14:paraId="14270B2E" w14:textId="77777777" w:rsidR="00CC25D6" w:rsidRPr="00A028B4" w:rsidRDefault="00CC25D6" w:rsidP="00CC25D6">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t>For all the other (re) transmissions, conventional downlin</w:t>
      </w:r>
      <w:r>
        <w:rPr>
          <w:rFonts w:ascii="Times New Roman" w:hAnsi="Times New Roman"/>
          <w:color w:val="000000" w:themeColor="text1"/>
          <w:sz w:val="24"/>
          <w:szCs w:val="24"/>
        </w:rPr>
        <w:t>k structure as shown in Figure 20 is reused to indicate the RV, i.e. same structure as that of TS 38.212</w:t>
      </w:r>
    </w:p>
    <w:p w14:paraId="38E4B2D6" w14:textId="77777777" w:rsidR="00CC25D6" w:rsidRDefault="00CC25D6" w:rsidP="00CC25D6">
      <w:pPr>
        <w:pStyle w:val="Text"/>
        <w:jc w:val="both"/>
        <w:rPr>
          <w:rFonts w:asciiTheme="minorHAnsi" w:hAnsiTheme="minorHAnsi" w:cs="Arial"/>
          <w:color w:val="000000" w:themeColor="text1"/>
          <w:sz w:val="24"/>
          <w:szCs w:val="24"/>
        </w:rPr>
      </w:pPr>
    </w:p>
    <w:p w14:paraId="38AD8E64" w14:textId="77777777" w:rsidR="00CC25D6" w:rsidRDefault="00CC25D6" w:rsidP="00CC25D6">
      <w:pPr>
        <w:pStyle w:val="Text"/>
        <w:jc w:val="both"/>
        <w:rPr>
          <w:rFonts w:asciiTheme="minorHAnsi" w:hAnsiTheme="minorHAnsi" w:cs="Arial"/>
          <w:color w:val="000000" w:themeColor="text1"/>
          <w:sz w:val="24"/>
          <w:szCs w:val="24"/>
        </w:rPr>
      </w:pPr>
    </w:p>
    <w:p w14:paraId="753C5337" w14:textId="77777777" w:rsidR="00CC25D6" w:rsidRDefault="00CC25D6" w:rsidP="00CC25D6">
      <w:r>
        <w:rPr>
          <w:noProof/>
        </w:rPr>
        <mc:AlternateContent>
          <mc:Choice Requires="wps">
            <w:drawing>
              <wp:anchor distT="0" distB="0" distL="114300" distR="114300" simplePos="0" relativeHeight="251670528" behindDoc="0" locked="0" layoutInCell="1" allowOverlap="1" wp14:anchorId="0EEBF993" wp14:editId="0DD23281">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14:paraId="04ADCFBD" w14:textId="77777777" w:rsidR="00CC25D6" w:rsidRDefault="00CC25D6" w:rsidP="00CC25D6">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0EEBF993" id="Rectangle 74" o:spid="_x0000_s1033" style="position:absolute;margin-left:222.3pt;margin-top:3.65pt;width:86.75pt;height:26.9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14:paraId="04ADCFBD" w14:textId="77777777" w:rsidR="00CC25D6" w:rsidRDefault="00CC25D6" w:rsidP="00CC25D6">
                      <w:r>
                        <w:t>Part 2</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53E837E2" wp14:editId="0EB4BBB6">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14:paraId="7F6CC248" w14:textId="77777777" w:rsidR="00CC25D6" w:rsidRDefault="00CC25D6" w:rsidP="00CC25D6">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3E837E2" id="Rectangle 18" o:spid="_x0000_s1034" style="position:absolute;margin-left:192.2pt;margin-top:3.45pt;width:29.2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14:paraId="7F6CC248" w14:textId="77777777" w:rsidR="00CC25D6" w:rsidRDefault="00CC25D6" w:rsidP="00CC25D6">
                      <w:r>
                        <w:t>RV</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4691EA17" wp14:editId="66CE5E4D">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14:paraId="0CF5363A" w14:textId="77777777" w:rsidR="00CC25D6" w:rsidRDefault="00CC25D6" w:rsidP="00CC25D6">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4691EA17" id="Rectangle 60" o:spid="_x0000_s1035" style="position:absolute;margin-left:63.1pt;margin-top:3.65pt;width:129.2pt;height:26.9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14:paraId="0CF5363A" w14:textId="77777777" w:rsidR="00CC25D6" w:rsidRDefault="00CC25D6" w:rsidP="00CC25D6">
                      <w:r>
                        <w:t>Part 1</w:t>
                      </w:r>
                      <w:r>
                        <w:tab/>
                      </w:r>
                    </w:p>
                  </w:txbxContent>
                </v:textbox>
              </v:rect>
            </w:pict>
          </mc:Fallback>
        </mc:AlternateContent>
      </w:r>
    </w:p>
    <w:p w14:paraId="26514A5C" w14:textId="77777777" w:rsidR="00CC25D6" w:rsidRDefault="00CC25D6" w:rsidP="00CC25D6"/>
    <w:p w14:paraId="179E7C1F" w14:textId="77777777" w:rsidR="00CC25D6" w:rsidRDefault="00CC25D6" w:rsidP="00CC25D6">
      <w:pPr>
        <w:pStyle w:val="Caption"/>
        <w:ind w:left="1440" w:firstLine="720"/>
        <w:rPr>
          <w:b w:val="0"/>
          <w:i/>
          <w:color w:val="000000" w:themeColor="text1"/>
        </w:rPr>
      </w:pPr>
    </w:p>
    <w:p w14:paraId="360C7CCA" w14:textId="77777777" w:rsidR="00CC25D6" w:rsidRPr="00D8506E" w:rsidRDefault="00CC25D6" w:rsidP="00CC25D6">
      <w:pPr>
        <w:pStyle w:val="Caption"/>
        <w:ind w:left="720"/>
        <w:rPr>
          <w:b w:val="0"/>
          <w:i/>
          <w:color w:val="000000" w:themeColor="text1"/>
        </w:rPr>
      </w:pPr>
      <w:r>
        <w:rPr>
          <w:color w:val="000000" w:themeColor="text1"/>
        </w:rPr>
        <w:t>Figure 20</w:t>
      </w:r>
      <w:r w:rsidRPr="00D8506E">
        <w:rPr>
          <w:color w:val="000000" w:themeColor="text1"/>
        </w:rPr>
        <w:t xml:space="preserve"> </w:t>
      </w:r>
      <w:r>
        <w:rPr>
          <w:color w:val="000000" w:themeColor="text1"/>
        </w:rPr>
        <w:t xml:space="preserve">Downlink control channel for re transmissions. </w:t>
      </w:r>
    </w:p>
    <w:p w14:paraId="181C2ED2" w14:textId="77777777" w:rsidR="00CC25D6" w:rsidRDefault="00CC25D6" w:rsidP="00CC25D6">
      <w:pPr>
        <w:pStyle w:val="Text"/>
        <w:jc w:val="both"/>
        <w:rPr>
          <w:rFonts w:ascii="Times New Roman" w:hAnsi="Times New Roman"/>
          <w:sz w:val="24"/>
        </w:rPr>
      </w:pPr>
    </w:p>
    <w:p w14:paraId="0C3CF52D" w14:textId="77777777" w:rsidR="00CC25D6" w:rsidRDefault="00CC25D6" w:rsidP="00CC25D6">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Pr>
          <w:rFonts w:ascii="Times New Roman" w:hAnsi="Times New Roman"/>
          <w:color w:val="000000" w:themeColor="text1"/>
          <w:sz w:val="24"/>
          <w:szCs w:val="24"/>
        </w:rPr>
        <w:t>7. In this case we can save 1 bit overhead for each TB in the DCI.</w:t>
      </w:r>
    </w:p>
    <w:p w14:paraId="19966C62" w14:textId="77777777" w:rsidR="00CC25D6" w:rsidRPr="00D6762A" w:rsidRDefault="00CC25D6" w:rsidP="00CC25D6">
      <w:pPr>
        <w:pStyle w:val="Text"/>
        <w:jc w:val="both"/>
        <w:rPr>
          <w:rFonts w:ascii="Times New Roman" w:hAnsi="Times New Roman"/>
          <w:sz w:val="24"/>
        </w:rPr>
      </w:pPr>
    </w:p>
    <w:p w14:paraId="3AC8A572" w14:textId="77777777" w:rsidR="00CC25D6" w:rsidRDefault="00CC25D6" w:rsidP="00CC25D6">
      <w:pPr>
        <w:pStyle w:val="Caption"/>
        <w:keepNext/>
      </w:pPr>
      <w:r>
        <w:t>Table 7</w:t>
      </w:r>
      <w:r w:rsidRPr="00123562">
        <w:t xml:space="preserve">: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CC25D6" w14:paraId="5606BC64" w14:textId="77777777" w:rsidTr="0098330B">
        <w:tc>
          <w:tcPr>
            <w:tcW w:w="3209" w:type="dxa"/>
            <w:shd w:val="clear" w:color="auto" w:fill="44546A" w:themeFill="text2"/>
          </w:tcPr>
          <w:p w14:paraId="3E7FE8F2"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14:paraId="4C186048"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14:paraId="5E329839"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CC25D6" w14:paraId="7D3BFCD0" w14:textId="77777777" w:rsidTr="0098330B">
        <w:tc>
          <w:tcPr>
            <w:tcW w:w="3209" w:type="dxa"/>
          </w:tcPr>
          <w:p w14:paraId="5B762191"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14:paraId="5DF29E53"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14:paraId="3FB0D083"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CC25D6" w14:paraId="5D754DF0" w14:textId="77777777" w:rsidTr="0098330B">
        <w:tc>
          <w:tcPr>
            <w:tcW w:w="3209" w:type="dxa"/>
          </w:tcPr>
          <w:p w14:paraId="015EC5DB"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14:paraId="2BD913A3"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14:paraId="41D32D15"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CC25D6" w14:paraId="4D1CA54B" w14:textId="77777777" w:rsidTr="0098330B">
        <w:tc>
          <w:tcPr>
            <w:tcW w:w="3209" w:type="dxa"/>
          </w:tcPr>
          <w:p w14:paraId="783BE778"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14:paraId="2D2BED64"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14:paraId="093EE67B"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CC25D6" w14:paraId="5026A2AA" w14:textId="77777777" w:rsidTr="0098330B">
        <w:tc>
          <w:tcPr>
            <w:tcW w:w="3209" w:type="dxa"/>
          </w:tcPr>
          <w:p w14:paraId="5EFE1951"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14:paraId="551E27EB"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14:paraId="00EE4701" w14:textId="77777777" w:rsidR="00CC25D6" w:rsidRDefault="00CC25D6" w:rsidP="0098330B">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14:paraId="753B4187" w14:textId="77777777" w:rsidR="00CC25D6" w:rsidRDefault="00CC25D6" w:rsidP="00CC25D6">
      <w:pPr>
        <w:pStyle w:val="Text"/>
        <w:rPr>
          <w:rFonts w:asciiTheme="minorHAnsi" w:hAnsiTheme="minorHAnsi" w:cs="Arial"/>
          <w:color w:val="000000" w:themeColor="text1"/>
          <w:sz w:val="24"/>
          <w:szCs w:val="24"/>
        </w:rPr>
      </w:pPr>
    </w:p>
    <w:p w14:paraId="7D4DC150" w14:textId="77777777" w:rsidR="00CC25D6" w:rsidRDefault="00CC25D6" w:rsidP="00CC25D6">
      <w:pPr>
        <w:pStyle w:val="Text"/>
        <w:rPr>
          <w:rFonts w:asciiTheme="minorHAnsi" w:hAnsiTheme="minorHAnsi" w:cs="Arial"/>
          <w:color w:val="000000" w:themeColor="text1"/>
          <w:sz w:val="24"/>
          <w:szCs w:val="24"/>
        </w:rPr>
      </w:pPr>
    </w:p>
    <w:p w14:paraId="2AFE2235" w14:textId="77777777" w:rsidR="00CC25D6" w:rsidRPr="002518F8" w:rsidRDefault="00CC25D6" w:rsidP="00CC25D6">
      <w:pPr>
        <w:pStyle w:val="Text"/>
        <w:jc w:val="both"/>
        <w:rPr>
          <w:rFonts w:ascii="Times New Roman" w:hAnsi="Times New Roman"/>
          <w:color w:val="000000" w:themeColor="text1"/>
          <w:sz w:val="24"/>
          <w:szCs w:val="24"/>
        </w:rPr>
      </w:pPr>
      <w:r w:rsidRPr="002518F8">
        <w:rPr>
          <w:rFonts w:ascii="Times New Roman" w:hAnsi="Times New Roman"/>
          <w:color w:val="000000" w:themeColor="text1"/>
          <w:sz w:val="24"/>
          <w:szCs w:val="24"/>
        </w:rPr>
        <w:t xml:space="preserve">In another technique the network uses RV0 for every transmission i.e. HARQ-Chase combining, then the network can use a single bit to indicate this rather than using 2 bit to indicate RV.  i.e. introduce a new bit to differentiate  HARQ-CC or HARQ-IR. If that bit is set to 0 (HARQ-CC) means, RV0 is used for the current transmission, however when that bit is set to 1 (HARQ-IR), then additional 2 bits are used for each TB to indicate the RV for the current transmission. Hence for CC, only 1 bit is used, while for IR, 3 bits are used to indicate RV. </w:t>
      </w:r>
      <w:r>
        <w:rPr>
          <w:rFonts w:ascii="Times New Roman" w:hAnsi="Times New Roman"/>
          <w:color w:val="000000" w:themeColor="text1"/>
          <w:sz w:val="24"/>
          <w:szCs w:val="24"/>
        </w:rPr>
        <w:t xml:space="preserve"> Hence we propose</w:t>
      </w:r>
    </w:p>
    <w:p w14:paraId="727326BD" w14:textId="77777777" w:rsidR="00CC25D6" w:rsidRDefault="00CC25D6" w:rsidP="00CC25D6">
      <w:pPr>
        <w:pStyle w:val="Text"/>
        <w:jc w:val="both"/>
        <w:rPr>
          <w:rFonts w:ascii="Times New Roman" w:hAnsi="Times New Roman"/>
          <w:sz w:val="24"/>
        </w:rPr>
      </w:pPr>
    </w:p>
    <w:p w14:paraId="46A2188C" w14:textId="31A5422E"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For NR-URLLC, to reduce the DCI payload, for the first transmission, RV is implicitly indicated as part of NDI</w:t>
      </w:r>
    </w:p>
    <w:p w14:paraId="53947E50" w14:textId="77777777" w:rsidR="00CC25D6" w:rsidRDefault="00CC25D6" w:rsidP="00CC25D6">
      <w:pPr>
        <w:pStyle w:val="Text"/>
        <w:jc w:val="both"/>
        <w:rPr>
          <w:rFonts w:ascii="Times New Roman" w:hAnsi="Times New Roman"/>
          <w:b/>
          <w:sz w:val="24"/>
          <w:szCs w:val="24"/>
        </w:rPr>
      </w:pPr>
    </w:p>
    <w:p w14:paraId="02BE9989" w14:textId="18283FFA"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Joint encoding of NDI and RV is used to reduce the DCI payload for NR-URLLC</w:t>
      </w:r>
    </w:p>
    <w:p w14:paraId="6514C168" w14:textId="77777777" w:rsidR="00CC25D6" w:rsidRDefault="00CC25D6" w:rsidP="00CC25D6">
      <w:pPr>
        <w:pStyle w:val="Text"/>
        <w:jc w:val="both"/>
        <w:rPr>
          <w:rFonts w:ascii="Times New Roman" w:hAnsi="Times New Roman"/>
          <w:b/>
          <w:sz w:val="24"/>
          <w:szCs w:val="24"/>
        </w:rPr>
      </w:pPr>
    </w:p>
    <w:p w14:paraId="684CAC2A" w14:textId="2086ED4E"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Adaptive payload structure should be used for indicating RV for NR-URLLC</w:t>
      </w:r>
    </w:p>
    <w:p w14:paraId="6075C1FD" w14:textId="77777777" w:rsidR="00CC25D6" w:rsidRDefault="00CC25D6" w:rsidP="00CC25D6">
      <w:pPr>
        <w:pStyle w:val="Text"/>
        <w:jc w:val="both"/>
        <w:rPr>
          <w:rFonts w:ascii="Times New Roman" w:hAnsi="Times New Roman"/>
          <w:b/>
          <w:sz w:val="24"/>
          <w:szCs w:val="24"/>
        </w:rPr>
      </w:pPr>
    </w:p>
    <w:p w14:paraId="209FF4FB" w14:textId="77777777" w:rsidR="00CC25D6" w:rsidRPr="00646A34" w:rsidRDefault="00CC25D6" w:rsidP="00CC25D6">
      <w:pPr>
        <w:pStyle w:val="Heading2"/>
        <w:rPr>
          <w:sz w:val="28"/>
        </w:rPr>
      </w:pPr>
      <w:r>
        <w:rPr>
          <w:sz w:val="28"/>
        </w:rPr>
        <w:lastRenderedPageBreak/>
        <w:t>Indication of redundancy version using RRC</w:t>
      </w:r>
    </w:p>
    <w:p w14:paraId="33861481" w14:textId="77777777" w:rsidR="00CC25D6" w:rsidRPr="001D029B" w:rsidRDefault="00CC25D6" w:rsidP="00CC25D6">
      <w:pPr>
        <w:pStyle w:val="Text"/>
        <w:jc w:val="both"/>
        <w:rPr>
          <w:rFonts w:ascii="Times New Roman" w:hAnsi="Times New Roman"/>
          <w:b/>
          <w:sz w:val="24"/>
          <w:szCs w:val="24"/>
          <w:lang w:val="en-GB"/>
        </w:rPr>
      </w:pPr>
    </w:p>
    <w:p w14:paraId="39CD721B" w14:textId="77777777" w:rsidR="00CC25D6" w:rsidRDefault="00CC25D6" w:rsidP="00CC25D6">
      <w:pPr>
        <w:pStyle w:val="Text"/>
        <w:jc w:val="both"/>
        <w:rPr>
          <w:rFonts w:ascii="Times New Roman" w:hAnsi="Times New Roman"/>
          <w:sz w:val="24"/>
        </w:rPr>
      </w:pPr>
      <w:r>
        <w:rPr>
          <w:rFonts w:ascii="Times New Roman" w:hAnsi="Times New Roman"/>
          <w:sz w:val="24"/>
        </w:rPr>
        <w:t xml:space="preserve">As explained in above section, for URLLC applications, we can save 2 bits for each TB if we can avoid the RV indication.  Since the reliability of URLLC is high say 1% or 0.1%. In these cases, the probability of packet pass is very high. Hence most of the packets pass in the first attempt itself. In these cases, indicating RV0 in the first transmission does not carry any new information to the UE. In addition, we believe that for URLLC applications, retransmitting RV0 does not penalize the performance compared to re transmitting RV1, RV2 or RV3. Hence we propose that the network can indicate RV 0 for all transmissions or multiple RV states through RRC signaling. By doing this, we can save 2 bits in each transmission for majority of the UEs. The method provides flexibility to the network vendor if the network believes HARQ-IR provides gains for a particular UE, they can enable multi state RV such that the gains can be obtained with 2 bit overhead for indicating RV. </w:t>
      </w:r>
    </w:p>
    <w:p w14:paraId="199F361A" w14:textId="77777777" w:rsidR="00CC25D6" w:rsidRPr="002518F8" w:rsidRDefault="00CC25D6" w:rsidP="00CC25D6">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Hence we propose</w:t>
      </w:r>
    </w:p>
    <w:p w14:paraId="0BEB3115" w14:textId="77777777" w:rsidR="00CC25D6" w:rsidRDefault="00CC25D6" w:rsidP="00CC25D6">
      <w:pPr>
        <w:pStyle w:val="Text"/>
        <w:jc w:val="both"/>
        <w:rPr>
          <w:rFonts w:ascii="Times New Roman" w:hAnsi="Times New Roman"/>
          <w:sz w:val="24"/>
        </w:rPr>
      </w:pPr>
    </w:p>
    <w:p w14:paraId="58C6977E" w14:textId="0F0FC1CB" w:rsidR="00CC25D6" w:rsidRDefault="00CC25D6" w:rsidP="00CC25D6">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sz w:val="24"/>
          <w:szCs w:val="24"/>
        </w:rPr>
        <w:t xml:space="preserve"> Indication of single state RV0 (HARQ-CC) or multiple state RV (HARQ-IR, RV0, 1, 2, 3) is done using RRC signaling to reduce the payload of DCI </w:t>
      </w:r>
    </w:p>
    <w:p w14:paraId="317DAAB8" w14:textId="77777777" w:rsidR="00806FA2" w:rsidRDefault="00806FA2" w:rsidP="00806FA2">
      <w:pPr>
        <w:contextualSpacing/>
        <w:jc w:val="both"/>
        <w:rPr>
          <w:sz w:val="24"/>
        </w:rPr>
      </w:pPr>
    </w:p>
    <w:p w14:paraId="5C8D5B4D" w14:textId="77777777"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14:paraId="35F4707D" w14:textId="36D611AB"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 xml:space="preserve">escribed our views on </w:t>
      </w:r>
      <w:r w:rsidR="00516D23">
        <w:rPr>
          <w:sz w:val="24"/>
          <w:szCs w:val="24"/>
          <w:lang w:val="en-GB"/>
        </w:rPr>
        <w:t>PDCCH enhancements</w:t>
      </w:r>
      <w:r w:rsidR="00C1084F">
        <w:rPr>
          <w:sz w:val="24"/>
          <w:szCs w:val="24"/>
          <w:lang w:val="en-GB"/>
        </w:rPr>
        <w:t xml:space="preserve"> </w:t>
      </w:r>
      <w:r w:rsidR="0049572D">
        <w:rPr>
          <w:sz w:val="24"/>
          <w:szCs w:val="24"/>
          <w:lang w:val="en-GB"/>
        </w:rPr>
        <w:t>for NR</w:t>
      </w:r>
      <w:r w:rsidR="00FE24E4">
        <w:rPr>
          <w:sz w:val="24"/>
          <w:szCs w:val="24"/>
          <w:lang w:val="en-GB"/>
        </w:rPr>
        <w:t xml:space="preserve"> URLLC</w:t>
      </w:r>
      <w:r w:rsidR="0049572D">
        <w:rPr>
          <w:sz w:val="24"/>
          <w:szCs w:val="24"/>
          <w:lang w:val="en-GB"/>
        </w:rPr>
        <w:t>.</w:t>
      </w:r>
    </w:p>
    <w:p w14:paraId="7D8C4B3D" w14:textId="77777777"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14:paraId="7EF327AC" w14:textId="77777777" w:rsidR="00516D23" w:rsidRDefault="00516D23" w:rsidP="00516D23">
      <w:pPr>
        <w:contextualSpacing/>
        <w:rPr>
          <w:b/>
          <w:sz w:val="24"/>
          <w:szCs w:val="24"/>
        </w:rPr>
      </w:pPr>
      <w:r w:rsidRPr="00214BB7">
        <w:rPr>
          <w:b/>
          <w:noProof/>
          <w:sz w:val="24"/>
          <w:szCs w:val="24"/>
        </w:rPr>
        <w:t>Proposal 1:</w:t>
      </w:r>
      <w:r w:rsidRPr="00214BB7">
        <w:rPr>
          <w:b/>
          <w:sz w:val="24"/>
          <w:szCs w:val="24"/>
        </w:rPr>
        <w:t xml:space="preserve">  </w:t>
      </w:r>
      <w:r>
        <w:rPr>
          <w:b/>
          <w:sz w:val="24"/>
          <w:szCs w:val="24"/>
        </w:rPr>
        <w:t xml:space="preserve">RAN1 should study schemes for enhancing the performance of PDCCH </w:t>
      </w:r>
    </w:p>
    <w:p w14:paraId="494CCB9B" w14:textId="77777777" w:rsidR="00516D23" w:rsidRDefault="00516D23" w:rsidP="00516D23">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For NR-URLLC, to reduce the DCI payload, for the first transmission, RV is implicitly indicated as part of NDI</w:t>
      </w:r>
    </w:p>
    <w:p w14:paraId="222BC3F0" w14:textId="77777777" w:rsidR="00516D23" w:rsidRDefault="00516D23" w:rsidP="00516D23">
      <w:pPr>
        <w:pStyle w:val="Text"/>
        <w:jc w:val="both"/>
        <w:rPr>
          <w:rFonts w:ascii="Times New Roman" w:hAnsi="Times New Roman"/>
          <w:b/>
          <w:sz w:val="24"/>
          <w:szCs w:val="24"/>
        </w:rPr>
      </w:pPr>
    </w:p>
    <w:p w14:paraId="0408A4BC" w14:textId="77777777" w:rsidR="00516D23" w:rsidRDefault="00516D23" w:rsidP="00516D23">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Joint encoding of NDI and RV is used to reduce the DCI payload for NR-URLLC</w:t>
      </w:r>
    </w:p>
    <w:p w14:paraId="5AA46BE7" w14:textId="77777777" w:rsidR="00516D23" w:rsidRDefault="00516D23" w:rsidP="00516D23">
      <w:pPr>
        <w:pStyle w:val="Text"/>
        <w:jc w:val="both"/>
        <w:rPr>
          <w:rFonts w:ascii="Times New Roman" w:hAnsi="Times New Roman"/>
          <w:b/>
          <w:sz w:val="24"/>
          <w:szCs w:val="24"/>
        </w:rPr>
      </w:pPr>
    </w:p>
    <w:p w14:paraId="70CC722E" w14:textId="77777777" w:rsidR="00516D23" w:rsidRDefault="00516D23" w:rsidP="00516D23">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Adaptive payload structure should be used for indicating RV for NR-URLLC</w:t>
      </w:r>
    </w:p>
    <w:bookmarkEnd w:id="9"/>
    <w:p w14:paraId="6E4532D0" w14:textId="77777777" w:rsidR="00516D23" w:rsidRDefault="00516D23" w:rsidP="00516D23">
      <w:pPr>
        <w:pStyle w:val="Text"/>
        <w:jc w:val="both"/>
        <w:rPr>
          <w:rFonts w:ascii="Times New Roman" w:hAnsi="Times New Roman"/>
          <w:b/>
          <w:noProof/>
          <w:sz w:val="24"/>
          <w:szCs w:val="24"/>
        </w:rPr>
      </w:pPr>
    </w:p>
    <w:p w14:paraId="4A8AA06D" w14:textId="77777777" w:rsidR="00516D23" w:rsidRDefault="00516D23" w:rsidP="00516D23">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sz w:val="24"/>
          <w:szCs w:val="24"/>
        </w:rPr>
        <w:t xml:space="preserve"> Indication of single state RV0 (HARQ-CC) or multiple state RV (HARQ-IR, RV0, 1, 2, 3) is done using RRC signaling to reduce the payload of DCI </w:t>
      </w:r>
    </w:p>
    <w:p w14:paraId="071B69D4" w14:textId="242F6D8E" w:rsidR="00CD72A0" w:rsidRDefault="00CD72A0" w:rsidP="00516D23">
      <w:pPr>
        <w:contextualSpacing/>
        <w:rPr>
          <w:b/>
          <w:sz w:val="24"/>
          <w:szCs w:val="24"/>
        </w:rPr>
      </w:pPr>
    </w:p>
    <w:sectPr w:rsidR="00CD72A0" w:rsidSect="001D7377">
      <w:headerReference w:type="even" r:id="rId36"/>
      <w:footerReference w:type="even" r:id="rId37"/>
      <w:footerReference w:type="default" r:id="rId38"/>
      <w:footnotePr>
        <w:numRestart w:val="eachSect"/>
      </w:footnotePr>
      <w:pgSz w:w="12240" w:h="15840" w:code="1"/>
      <w:pgMar w:top="1418" w:right="1134" w:bottom="1080"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D5073" w16cid:durableId="1F181A8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51B88" w14:textId="77777777" w:rsidR="00E87E6B" w:rsidRDefault="00E87E6B" w:rsidP="00A03DF3">
      <w:pPr>
        <w:spacing w:after="0"/>
      </w:pPr>
      <w:r>
        <w:separator/>
      </w:r>
    </w:p>
  </w:endnote>
  <w:endnote w:type="continuationSeparator" w:id="0">
    <w:p w14:paraId="68FE94AA" w14:textId="77777777" w:rsidR="00E87E6B" w:rsidRDefault="00E87E6B"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7446" w14:textId="77777777" w:rsidR="00E253D2" w:rsidRDefault="00E253D2"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E253D2" w:rsidRDefault="00E253D2"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7CB60" w14:textId="77777777" w:rsidR="00E253D2" w:rsidRDefault="00E253D2"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96C6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6C6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EC560" w14:textId="77777777" w:rsidR="00E87E6B" w:rsidRDefault="00E87E6B" w:rsidP="00A03DF3">
      <w:pPr>
        <w:spacing w:after="0"/>
      </w:pPr>
      <w:r>
        <w:separator/>
      </w:r>
    </w:p>
  </w:footnote>
  <w:footnote w:type="continuationSeparator" w:id="0">
    <w:p w14:paraId="45AC4942" w14:textId="77777777" w:rsidR="00E87E6B" w:rsidRDefault="00E87E6B"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C1C84" w14:textId="77777777" w:rsidR="00E253D2" w:rsidRDefault="00E253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285422"/>
    <w:multiLevelType w:val="hybridMultilevel"/>
    <w:tmpl w:val="939427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249DD"/>
    <w:multiLevelType w:val="hybridMultilevel"/>
    <w:tmpl w:val="78386A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0D3D58"/>
    <w:multiLevelType w:val="hybridMultilevel"/>
    <w:tmpl w:val="46BE5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DF02EA6"/>
    <w:multiLevelType w:val="hybridMultilevel"/>
    <w:tmpl w:val="BE847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1E7C14"/>
    <w:multiLevelType w:val="hybridMultilevel"/>
    <w:tmpl w:val="85E88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830E4B"/>
    <w:multiLevelType w:val="hybridMultilevel"/>
    <w:tmpl w:val="EB0017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C0F60"/>
    <w:multiLevelType w:val="hybridMultilevel"/>
    <w:tmpl w:val="0E2625A4"/>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2902B3B"/>
    <w:multiLevelType w:val="hybridMultilevel"/>
    <w:tmpl w:val="B09CE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55688"/>
    <w:multiLevelType w:val="hybridMultilevel"/>
    <w:tmpl w:val="C0C24C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3233DF"/>
    <w:multiLevelType w:val="hybridMultilevel"/>
    <w:tmpl w:val="E75C6A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C6F79"/>
    <w:multiLevelType w:val="hybridMultilevel"/>
    <w:tmpl w:val="F89AE9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440561"/>
    <w:multiLevelType w:val="hybridMultilevel"/>
    <w:tmpl w:val="88C207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7142B0"/>
    <w:multiLevelType w:val="hybridMultilevel"/>
    <w:tmpl w:val="50924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560F7"/>
    <w:multiLevelType w:val="hybridMultilevel"/>
    <w:tmpl w:val="63924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06325B"/>
    <w:multiLevelType w:val="hybridMultilevel"/>
    <w:tmpl w:val="F2D45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0F1263"/>
    <w:multiLevelType w:val="hybridMultilevel"/>
    <w:tmpl w:val="DA7AF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5556E1"/>
    <w:multiLevelType w:val="hybridMultilevel"/>
    <w:tmpl w:val="80EC7FC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DE6BD4"/>
    <w:multiLevelType w:val="hybridMultilevel"/>
    <w:tmpl w:val="07500A2E"/>
    <w:lvl w:ilvl="0" w:tplc="EEC6CF48">
      <w:start w:val="1"/>
      <w:numFmt w:val="bullet"/>
      <w:lvlText w:val="•"/>
      <w:lvlJc w:val="left"/>
      <w:pPr>
        <w:tabs>
          <w:tab w:val="num" w:pos="720"/>
        </w:tabs>
        <w:ind w:left="720" w:hanging="360"/>
      </w:pPr>
      <w:rPr>
        <w:rFonts w:ascii="Arial" w:hAnsi="Arial" w:hint="default"/>
      </w:rPr>
    </w:lvl>
    <w:lvl w:ilvl="1" w:tplc="71CAF11C">
      <w:start w:val="50"/>
      <w:numFmt w:val="bullet"/>
      <w:lvlText w:val="–"/>
      <w:lvlJc w:val="left"/>
      <w:pPr>
        <w:tabs>
          <w:tab w:val="num" w:pos="1440"/>
        </w:tabs>
        <w:ind w:left="1440" w:hanging="360"/>
      </w:pPr>
      <w:rPr>
        <w:rFonts w:ascii="Arial" w:hAnsi="Arial" w:hint="default"/>
      </w:rPr>
    </w:lvl>
    <w:lvl w:ilvl="2" w:tplc="734A6A30">
      <w:start w:val="50"/>
      <w:numFmt w:val="bullet"/>
      <w:lvlText w:val="•"/>
      <w:lvlJc w:val="left"/>
      <w:pPr>
        <w:tabs>
          <w:tab w:val="num" w:pos="2160"/>
        </w:tabs>
        <w:ind w:left="2160" w:hanging="360"/>
      </w:pPr>
      <w:rPr>
        <w:rFonts w:ascii="Arial" w:hAnsi="Arial" w:hint="default"/>
      </w:rPr>
    </w:lvl>
    <w:lvl w:ilvl="3" w:tplc="52981D08" w:tentative="1">
      <w:start w:val="1"/>
      <w:numFmt w:val="bullet"/>
      <w:lvlText w:val="•"/>
      <w:lvlJc w:val="left"/>
      <w:pPr>
        <w:tabs>
          <w:tab w:val="num" w:pos="2880"/>
        </w:tabs>
        <w:ind w:left="2880" w:hanging="360"/>
      </w:pPr>
      <w:rPr>
        <w:rFonts w:ascii="Arial" w:hAnsi="Arial" w:hint="default"/>
      </w:rPr>
    </w:lvl>
    <w:lvl w:ilvl="4" w:tplc="0CEABEF2" w:tentative="1">
      <w:start w:val="1"/>
      <w:numFmt w:val="bullet"/>
      <w:lvlText w:val="•"/>
      <w:lvlJc w:val="left"/>
      <w:pPr>
        <w:tabs>
          <w:tab w:val="num" w:pos="3600"/>
        </w:tabs>
        <w:ind w:left="3600" w:hanging="360"/>
      </w:pPr>
      <w:rPr>
        <w:rFonts w:ascii="Arial" w:hAnsi="Arial" w:hint="default"/>
      </w:rPr>
    </w:lvl>
    <w:lvl w:ilvl="5" w:tplc="F5AC5D14" w:tentative="1">
      <w:start w:val="1"/>
      <w:numFmt w:val="bullet"/>
      <w:lvlText w:val="•"/>
      <w:lvlJc w:val="left"/>
      <w:pPr>
        <w:tabs>
          <w:tab w:val="num" w:pos="4320"/>
        </w:tabs>
        <w:ind w:left="4320" w:hanging="360"/>
      </w:pPr>
      <w:rPr>
        <w:rFonts w:ascii="Arial" w:hAnsi="Arial" w:hint="default"/>
      </w:rPr>
    </w:lvl>
    <w:lvl w:ilvl="6" w:tplc="2C6A39EE" w:tentative="1">
      <w:start w:val="1"/>
      <w:numFmt w:val="bullet"/>
      <w:lvlText w:val="•"/>
      <w:lvlJc w:val="left"/>
      <w:pPr>
        <w:tabs>
          <w:tab w:val="num" w:pos="5040"/>
        </w:tabs>
        <w:ind w:left="5040" w:hanging="360"/>
      </w:pPr>
      <w:rPr>
        <w:rFonts w:ascii="Arial" w:hAnsi="Arial" w:hint="default"/>
      </w:rPr>
    </w:lvl>
    <w:lvl w:ilvl="7" w:tplc="E2CC6262" w:tentative="1">
      <w:start w:val="1"/>
      <w:numFmt w:val="bullet"/>
      <w:lvlText w:val="•"/>
      <w:lvlJc w:val="left"/>
      <w:pPr>
        <w:tabs>
          <w:tab w:val="num" w:pos="5760"/>
        </w:tabs>
        <w:ind w:left="5760" w:hanging="360"/>
      </w:pPr>
      <w:rPr>
        <w:rFonts w:ascii="Arial" w:hAnsi="Arial" w:hint="default"/>
      </w:rPr>
    </w:lvl>
    <w:lvl w:ilvl="8" w:tplc="A91C4A2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21"/>
  </w:num>
  <w:num w:numId="4">
    <w:abstractNumId w:val="6"/>
  </w:num>
  <w:num w:numId="5">
    <w:abstractNumId w:val="20"/>
  </w:num>
  <w:num w:numId="6">
    <w:abstractNumId w:val="8"/>
  </w:num>
  <w:num w:numId="7">
    <w:abstractNumId w:val="31"/>
  </w:num>
  <w:num w:numId="8">
    <w:abstractNumId w:val="41"/>
  </w:num>
  <w:num w:numId="9">
    <w:abstractNumId w:val="23"/>
  </w:num>
  <w:num w:numId="10">
    <w:abstractNumId w:val="28"/>
  </w:num>
  <w:num w:numId="11">
    <w:abstractNumId w:val="24"/>
  </w:num>
  <w:num w:numId="12">
    <w:abstractNumId w:val="42"/>
  </w:num>
  <w:num w:numId="13">
    <w:abstractNumId w:val="27"/>
  </w:num>
  <w:num w:numId="14">
    <w:abstractNumId w:val="33"/>
  </w:num>
  <w:num w:numId="15">
    <w:abstractNumId w:val="36"/>
  </w:num>
  <w:num w:numId="16">
    <w:abstractNumId w:val="22"/>
  </w:num>
  <w:num w:numId="17">
    <w:abstractNumId w:val="3"/>
  </w:num>
  <w:num w:numId="18">
    <w:abstractNumId w:val="43"/>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9"/>
  </w:num>
  <w:num w:numId="22">
    <w:abstractNumId w:val="9"/>
  </w:num>
  <w:num w:numId="23">
    <w:abstractNumId w:val="35"/>
  </w:num>
  <w:num w:numId="24">
    <w:abstractNumId w:val="39"/>
  </w:num>
  <w:num w:numId="25">
    <w:abstractNumId w:val="16"/>
  </w:num>
  <w:num w:numId="26">
    <w:abstractNumId w:val="38"/>
  </w:num>
  <w:num w:numId="27">
    <w:abstractNumId w:val="14"/>
  </w:num>
  <w:num w:numId="28">
    <w:abstractNumId w:val="17"/>
  </w:num>
  <w:num w:numId="29">
    <w:abstractNumId w:val="30"/>
  </w:num>
  <w:num w:numId="30">
    <w:abstractNumId w:val="37"/>
  </w:num>
  <w:num w:numId="31">
    <w:abstractNumId w:val="10"/>
  </w:num>
  <w:num w:numId="32">
    <w:abstractNumId w:val="11"/>
  </w:num>
  <w:num w:numId="33">
    <w:abstractNumId w:val="40"/>
  </w:num>
  <w:num w:numId="34">
    <w:abstractNumId w:val="34"/>
  </w:num>
  <w:num w:numId="35">
    <w:abstractNumId w:val="12"/>
  </w:num>
  <w:num w:numId="36">
    <w:abstractNumId w:val="26"/>
  </w:num>
  <w:num w:numId="37">
    <w:abstractNumId w:val="19"/>
  </w:num>
  <w:num w:numId="38">
    <w:abstractNumId w:val="5"/>
  </w:num>
  <w:num w:numId="39">
    <w:abstractNumId w:val="32"/>
  </w:num>
  <w:num w:numId="40">
    <w:abstractNumId w:val="18"/>
  </w:num>
  <w:num w:numId="41">
    <w:abstractNumId w:val="15"/>
  </w:num>
  <w:num w:numId="42">
    <w:abstractNumId w:val="13"/>
  </w:num>
  <w:num w:numId="43">
    <w:abstractNumId w:val="44"/>
  </w:num>
  <w:num w:numId="44">
    <w:abstractNumId w:val="25"/>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2F9B"/>
    <w:rsid w:val="00005C1F"/>
    <w:rsid w:val="000118EB"/>
    <w:rsid w:val="00011919"/>
    <w:rsid w:val="00014FB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90E71"/>
    <w:rsid w:val="000A2B03"/>
    <w:rsid w:val="000A3429"/>
    <w:rsid w:val="000A3623"/>
    <w:rsid w:val="000A3E5E"/>
    <w:rsid w:val="000B2280"/>
    <w:rsid w:val="000B3F94"/>
    <w:rsid w:val="000C285E"/>
    <w:rsid w:val="000C6B73"/>
    <w:rsid w:val="000D0C32"/>
    <w:rsid w:val="000E3E8D"/>
    <w:rsid w:val="000E6C5E"/>
    <w:rsid w:val="000E7BE4"/>
    <w:rsid w:val="000E7F6F"/>
    <w:rsid w:val="000F152B"/>
    <w:rsid w:val="000F4CB8"/>
    <w:rsid w:val="000F5365"/>
    <w:rsid w:val="000F70D6"/>
    <w:rsid w:val="0010116E"/>
    <w:rsid w:val="001029CE"/>
    <w:rsid w:val="00102E95"/>
    <w:rsid w:val="00104687"/>
    <w:rsid w:val="00106E19"/>
    <w:rsid w:val="00107EBD"/>
    <w:rsid w:val="00110E2E"/>
    <w:rsid w:val="001153C1"/>
    <w:rsid w:val="0011607E"/>
    <w:rsid w:val="00116AD6"/>
    <w:rsid w:val="0012374A"/>
    <w:rsid w:val="00123BE2"/>
    <w:rsid w:val="001259C2"/>
    <w:rsid w:val="00127944"/>
    <w:rsid w:val="00131CEE"/>
    <w:rsid w:val="00150F00"/>
    <w:rsid w:val="00151B4B"/>
    <w:rsid w:val="00152AB0"/>
    <w:rsid w:val="00153580"/>
    <w:rsid w:val="0015660A"/>
    <w:rsid w:val="001578AE"/>
    <w:rsid w:val="00157AA0"/>
    <w:rsid w:val="00160E91"/>
    <w:rsid w:val="001610DD"/>
    <w:rsid w:val="001625C3"/>
    <w:rsid w:val="001679FE"/>
    <w:rsid w:val="001711C0"/>
    <w:rsid w:val="001738F0"/>
    <w:rsid w:val="001748B5"/>
    <w:rsid w:val="00183123"/>
    <w:rsid w:val="00183B2D"/>
    <w:rsid w:val="00183BE8"/>
    <w:rsid w:val="00184167"/>
    <w:rsid w:val="00184809"/>
    <w:rsid w:val="001857EE"/>
    <w:rsid w:val="00185817"/>
    <w:rsid w:val="00191F54"/>
    <w:rsid w:val="001A19A7"/>
    <w:rsid w:val="001A1D31"/>
    <w:rsid w:val="001B362A"/>
    <w:rsid w:val="001C0C74"/>
    <w:rsid w:val="001C6D6A"/>
    <w:rsid w:val="001D029B"/>
    <w:rsid w:val="001D7377"/>
    <w:rsid w:val="001E0FE1"/>
    <w:rsid w:val="001E1248"/>
    <w:rsid w:val="001F145D"/>
    <w:rsid w:val="001F2DAC"/>
    <w:rsid w:val="001F54EA"/>
    <w:rsid w:val="001F6A37"/>
    <w:rsid w:val="001F7D4A"/>
    <w:rsid w:val="00201686"/>
    <w:rsid w:val="002017DD"/>
    <w:rsid w:val="002049EA"/>
    <w:rsid w:val="00206A48"/>
    <w:rsid w:val="00206D78"/>
    <w:rsid w:val="00206DA2"/>
    <w:rsid w:val="00207CDD"/>
    <w:rsid w:val="00210503"/>
    <w:rsid w:val="0021393D"/>
    <w:rsid w:val="00214BB7"/>
    <w:rsid w:val="00220854"/>
    <w:rsid w:val="00225364"/>
    <w:rsid w:val="002322FE"/>
    <w:rsid w:val="00235E13"/>
    <w:rsid w:val="00236E92"/>
    <w:rsid w:val="00237606"/>
    <w:rsid w:val="00237A05"/>
    <w:rsid w:val="00240786"/>
    <w:rsid w:val="002421E2"/>
    <w:rsid w:val="00242A69"/>
    <w:rsid w:val="00242F9F"/>
    <w:rsid w:val="00243618"/>
    <w:rsid w:val="00244E87"/>
    <w:rsid w:val="00250D87"/>
    <w:rsid w:val="002518F8"/>
    <w:rsid w:val="00270C74"/>
    <w:rsid w:val="00270E7D"/>
    <w:rsid w:val="002733F2"/>
    <w:rsid w:val="00273449"/>
    <w:rsid w:val="00273B90"/>
    <w:rsid w:val="00275CA0"/>
    <w:rsid w:val="00285994"/>
    <w:rsid w:val="00291C98"/>
    <w:rsid w:val="00297B7D"/>
    <w:rsid w:val="002B13C5"/>
    <w:rsid w:val="002B26F8"/>
    <w:rsid w:val="002B6B50"/>
    <w:rsid w:val="002B7641"/>
    <w:rsid w:val="002B7E73"/>
    <w:rsid w:val="002C3A90"/>
    <w:rsid w:val="002C3FBB"/>
    <w:rsid w:val="002D1049"/>
    <w:rsid w:val="002D152B"/>
    <w:rsid w:val="002D2394"/>
    <w:rsid w:val="002D5FAF"/>
    <w:rsid w:val="002E3D2F"/>
    <w:rsid w:val="002E6A45"/>
    <w:rsid w:val="002E6BC4"/>
    <w:rsid w:val="002F06AF"/>
    <w:rsid w:val="002F1636"/>
    <w:rsid w:val="002F4E95"/>
    <w:rsid w:val="002F500A"/>
    <w:rsid w:val="002F58D4"/>
    <w:rsid w:val="002F70E1"/>
    <w:rsid w:val="00302DBC"/>
    <w:rsid w:val="003038FB"/>
    <w:rsid w:val="00304012"/>
    <w:rsid w:val="0030433D"/>
    <w:rsid w:val="003109E6"/>
    <w:rsid w:val="003149D8"/>
    <w:rsid w:val="00316418"/>
    <w:rsid w:val="003224F6"/>
    <w:rsid w:val="00334E9F"/>
    <w:rsid w:val="00341D34"/>
    <w:rsid w:val="0035783D"/>
    <w:rsid w:val="00361C40"/>
    <w:rsid w:val="00363695"/>
    <w:rsid w:val="003709E5"/>
    <w:rsid w:val="0037686B"/>
    <w:rsid w:val="0037788F"/>
    <w:rsid w:val="003778D9"/>
    <w:rsid w:val="00382E4B"/>
    <w:rsid w:val="00384F13"/>
    <w:rsid w:val="00386534"/>
    <w:rsid w:val="00386B9D"/>
    <w:rsid w:val="0039283B"/>
    <w:rsid w:val="003967CC"/>
    <w:rsid w:val="00396A0C"/>
    <w:rsid w:val="003A387F"/>
    <w:rsid w:val="003A6F05"/>
    <w:rsid w:val="003B08A8"/>
    <w:rsid w:val="003B11C5"/>
    <w:rsid w:val="003C016A"/>
    <w:rsid w:val="003C04C9"/>
    <w:rsid w:val="003C0F81"/>
    <w:rsid w:val="003C1FBC"/>
    <w:rsid w:val="003C58AE"/>
    <w:rsid w:val="003C71AC"/>
    <w:rsid w:val="003D2FF5"/>
    <w:rsid w:val="003D51ED"/>
    <w:rsid w:val="003D770A"/>
    <w:rsid w:val="003E5995"/>
    <w:rsid w:val="003E6F6E"/>
    <w:rsid w:val="003F334E"/>
    <w:rsid w:val="003F3BD7"/>
    <w:rsid w:val="003F54E8"/>
    <w:rsid w:val="00404CC0"/>
    <w:rsid w:val="00413433"/>
    <w:rsid w:val="0041500F"/>
    <w:rsid w:val="00415A8F"/>
    <w:rsid w:val="00416778"/>
    <w:rsid w:val="00416848"/>
    <w:rsid w:val="0041687B"/>
    <w:rsid w:val="00417010"/>
    <w:rsid w:val="00421884"/>
    <w:rsid w:val="004258B0"/>
    <w:rsid w:val="00426E58"/>
    <w:rsid w:val="0043050F"/>
    <w:rsid w:val="00434696"/>
    <w:rsid w:val="00434EBF"/>
    <w:rsid w:val="00435A39"/>
    <w:rsid w:val="00436CAA"/>
    <w:rsid w:val="0044468E"/>
    <w:rsid w:val="00464F06"/>
    <w:rsid w:val="004707F9"/>
    <w:rsid w:val="00470BCC"/>
    <w:rsid w:val="004721FB"/>
    <w:rsid w:val="004727D6"/>
    <w:rsid w:val="0047312E"/>
    <w:rsid w:val="00474038"/>
    <w:rsid w:val="00482BB5"/>
    <w:rsid w:val="00484322"/>
    <w:rsid w:val="00484E13"/>
    <w:rsid w:val="00487CD8"/>
    <w:rsid w:val="00490F34"/>
    <w:rsid w:val="00491D5A"/>
    <w:rsid w:val="0049348F"/>
    <w:rsid w:val="004941F5"/>
    <w:rsid w:val="004951FA"/>
    <w:rsid w:val="0049572D"/>
    <w:rsid w:val="00496256"/>
    <w:rsid w:val="00496C62"/>
    <w:rsid w:val="00497134"/>
    <w:rsid w:val="004975B1"/>
    <w:rsid w:val="004A4B20"/>
    <w:rsid w:val="004A5460"/>
    <w:rsid w:val="004A6AF1"/>
    <w:rsid w:val="004B6CC8"/>
    <w:rsid w:val="004C12A8"/>
    <w:rsid w:val="004C521D"/>
    <w:rsid w:val="004D7C42"/>
    <w:rsid w:val="004E0FCF"/>
    <w:rsid w:val="004E24E6"/>
    <w:rsid w:val="004E3753"/>
    <w:rsid w:val="004E48E6"/>
    <w:rsid w:val="004E4A4E"/>
    <w:rsid w:val="004E509E"/>
    <w:rsid w:val="004E66AB"/>
    <w:rsid w:val="004F5748"/>
    <w:rsid w:val="004F77E8"/>
    <w:rsid w:val="0050596D"/>
    <w:rsid w:val="0051043F"/>
    <w:rsid w:val="00511B6D"/>
    <w:rsid w:val="00516D23"/>
    <w:rsid w:val="00523190"/>
    <w:rsid w:val="00526E57"/>
    <w:rsid w:val="005279A7"/>
    <w:rsid w:val="00534474"/>
    <w:rsid w:val="005352FA"/>
    <w:rsid w:val="00537F8E"/>
    <w:rsid w:val="005415B8"/>
    <w:rsid w:val="00542D84"/>
    <w:rsid w:val="005457DF"/>
    <w:rsid w:val="0054589A"/>
    <w:rsid w:val="00547C78"/>
    <w:rsid w:val="0055021B"/>
    <w:rsid w:val="00556F5D"/>
    <w:rsid w:val="00560F12"/>
    <w:rsid w:val="0056148F"/>
    <w:rsid w:val="00562197"/>
    <w:rsid w:val="00566BF8"/>
    <w:rsid w:val="00571DF7"/>
    <w:rsid w:val="005720AE"/>
    <w:rsid w:val="0058545D"/>
    <w:rsid w:val="00594E1F"/>
    <w:rsid w:val="0059501C"/>
    <w:rsid w:val="0059709E"/>
    <w:rsid w:val="00597D4A"/>
    <w:rsid w:val="005A32B5"/>
    <w:rsid w:val="005A5933"/>
    <w:rsid w:val="005C1BF7"/>
    <w:rsid w:val="005C6587"/>
    <w:rsid w:val="005C7FD4"/>
    <w:rsid w:val="005E3576"/>
    <w:rsid w:val="005F0C73"/>
    <w:rsid w:val="005F2BEE"/>
    <w:rsid w:val="005F49BE"/>
    <w:rsid w:val="005F4A47"/>
    <w:rsid w:val="005F69AE"/>
    <w:rsid w:val="00602697"/>
    <w:rsid w:val="00602FF2"/>
    <w:rsid w:val="006045EE"/>
    <w:rsid w:val="0061169D"/>
    <w:rsid w:val="006124BA"/>
    <w:rsid w:val="0061290E"/>
    <w:rsid w:val="006134F1"/>
    <w:rsid w:val="0062001B"/>
    <w:rsid w:val="0062050D"/>
    <w:rsid w:val="00620FDE"/>
    <w:rsid w:val="0062271A"/>
    <w:rsid w:val="00622998"/>
    <w:rsid w:val="00633D91"/>
    <w:rsid w:val="00636BB8"/>
    <w:rsid w:val="00644086"/>
    <w:rsid w:val="0064614A"/>
    <w:rsid w:val="00646A34"/>
    <w:rsid w:val="00647AF1"/>
    <w:rsid w:val="00653B6D"/>
    <w:rsid w:val="006540B2"/>
    <w:rsid w:val="006577D9"/>
    <w:rsid w:val="006625D4"/>
    <w:rsid w:val="00664678"/>
    <w:rsid w:val="006667BE"/>
    <w:rsid w:val="00667EDB"/>
    <w:rsid w:val="00674ED6"/>
    <w:rsid w:val="00675879"/>
    <w:rsid w:val="00680F31"/>
    <w:rsid w:val="0068135B"/>
    <w:rsid w:val="0068226F"/>
    <w:rsid w:val="00685F4C"/>
    <w:rsid w:val="00690289"/>
    <w:rsid w:val="00690312"/>
    <w:rsid w:val="00691783"/>
    <w:rsid w:val="006A4ACB"/>
    <w:rsid w:val="006A53E5"/>
    <w:rsid w:val="006A5DD2"/>
    <w:rsid w:val="006B101C"/>
    <w:rsid w:val="006B50A4"/>
    <w:rsid w:val="006C1A5A"/>
    <w:rsid w:val="006C56E9"/>
    <w:rsid w:val="006C6647"/>
    <w:rsid w:val="006C6FB2"/>
    <w:rsid w:val="006D3D50"/>
    <w:rsid w:val="006D4957"/>
    <w:rsid w:val="006D54A4"/>
    <w:rsid w:val="006E20B8"/>
    <w:rsid w:val="006E669E"/>
    <w:rsid w:val="006E71AD"/>
    <w:rsid w:val="006E71FE"/>
    <w:rsid w:val="006E7E37"/>
    <w:rsid w:val="006F0DD0"/>
    <w:rsid w:val="006F3C6F"/>
    <w:rsid w:val="006F5982"/>
    <w:rsid w:val="00706C10"/>
    <w:rsid w:val="007074B7"/>
    <w:rsid w:val="00710907"/>
    <w:rsid w:val="00711AFE"/>
    <w:rsid w:val="007127D6"/>
    <w:rsid w:val="007136E9"/>
    <w:rsid w:val="007146FF"/>
    <w:rsid w:val="00717B27"/>
    <w:rsid w:val="007229DC"/>
    <w:rsid w:val="00722FD8"/>
    <w:rsid w:val="007256A7"/>
    <w:rsid w:val="00725E2A"/>
    <w:rsid w:val="0073390E"/>
    <w:rsid w:val="00734F5F"/>
    <w:rsid w:val="00735620"/>
    <w:rsid w:val="0074131E"/>
    <w:rsid w:val="00742ABC"/>
    <w:rsid w:val="007454EF"/>
    <w:rsid w:val="00745620"/>
    <w:rsid w:val="0075148E"/>
    <w:rsid w:val="00757575"/>
    <w:rsid w:val="00757CAA"/>
    <w:rsid w:val="00760679"/>
    <w:rsid w:val="00762DEE"/>
    <w:rsid w:val="0076369B"/>
    <w:rsid w:val="00767F04"/>
    <w:rsid w:val="00770660"/>
    <w:rsid w:val="00774FEA"/>
    <w:rsid w:val="007764D8"/>
    <w:rsid w:val="00777947"/>
    <w:rsid w:val="007779D9"/>
    <w:rsid w:val="0078261D"/>
    <w:rsid w:val="007877F2"/>
    <w:rsid w:val="00790961"/>
    <w:rsid w:val="00791A1C"/>
    <w:rsid w:val="007A0FD9"/>
    <w:rsid w:val="007A4702"/>
    <w:rsid w:val="007A6469"/>
    <w:rsid w:val="007A781F"/>
    <w:rsid w:val="007A7857"/>
    <w:rsid w:val="007B3085"/>
    <w:rsid w:val="007B3DE9"/>
    <w:rsid w:val="007B455D"/>
    <w:rsid w:val="007B574D"/>
    <w:rsid w:val="007B6F7A"/>
    <w:rsid w:val="007C1666"/>
    <w:rsid w:val="007C1DC5"/>
    <w:rsid w:val="007C1F03"/>
    <w:rsid w:val="007C274D"/>
    <w:rsid w:val="007D0DCF"/>
    <w:rsid w:val="007D319B"/>
    <w:rsid w:val="007D646D"/>
    <w:rsid w:val="007D6B66"/>
    <w:rsid w:val="007F11C2"/>
    <w:rsid w:val="007F4A7C"/>
    <w:rsid w:val="007F6FD4"/>
    <w:rsid w:val="00806816"/>
    <w:rsid w:val="00806A67"/>
    <w:rsid w:val="00806FA2"/>
    <w:rsid w:val="00811998"/>
    <w:rsid w:val="0081279A"/>
    <w:rsid w:val="00814507"/>
    <w:rsid w:val="00816FB9"/>
    <w:rsid w:val="008177E7"/>
    <w:rsid w:val="00822CF7"/>
    <w:rsid w:val="00825D7A"/>
    <w:rsid w:val="00825EC8"/>
    <w:rsid w:val="00827106"/>
    <w:rsid w:val="00827552"/>
    <w:rsid w:val="008305FD"/>
    <w:rsid w:val="00841D9F"/>
    <w:rsid w:val="00843B1D"/>
    <w:rsid w:val="00844CF1"/>
    <w:rsid w:val="00854CA2"/>
    <w:rsid w:val="00860E8A"/>
    <w:rsid w:val="0086141D"/>
    <w:rsid w:val="008645B9"/>
    <w:rsid w:val="00864E21"/>
    <w:rsid w:val="00876F81"/>
    <w:rsid w:val="008779BD"/>
    <w:rsid w:val="0088096D"/>
    <w:rsid w:val="00881B50"/>
    <w:rsid w:val="00883F0F"/>
    <w:rsid w:val="00885AFC"/>
    <w:rsid w:val="008874A3"/>
    <w:rsid w:val="00890365"/>
    <w:rsid w:val="00892F50"/>
    <w:rsid w:val="008930A9"/>
    <w:rsid w:val="008959B1"/>
    <w:rsid w:val="00896BD4"/>
    <w:rsid w:val="008A2B26"/>
    <w:rsid w:val="008A6586"/>
    <w:rsid w:val="008A70D6"/>
    <w:rsid w:val="008A7C64"/>
    <w:rsid w:val="008B7E92"/>
    <w:rsid w:val="008C2267"/>
    <w:rsid w:val="008C2E73"/>
    <w:rsid w:val="008C4C93"/>
    <w:rsid w:val="008C5528"/>
    <w:rsid w:val="008C7323"/>
    <w:rsid w:val="008D10B5"/>
    <w:rsid w:val="008D35A1"/>
    <w:rsid w:val="008E1849"/>
    <w:rsid w:val="008E3584"/>
    <w:rsid w:val="008E4D5A"/>
    <w:rsid w:val="008E5AEC"/>
    <w:rsid w:val="008E5C54"/>
    <w:rsid w:val="008E5E7E"/>
    <w:rsid w:val="008F1B80"/>
    <w:rsid w:val="008F49D1"/>
    <w:rsid w:val="008F6D47"/>
    <w:rsid w:val="008F7450"/>
    <w:rsid w:val="008F7F97"/>
    <w:rsid w:val="009060A4"/>
    <w:rsid w:val="00907D90"/>
    <w:rsid w:val="009103C7"/>
    <w:rsid w:val="0091056A"/>
    <w:rsid w:val="00912BFE"/>
    <w:rsid w:val="00912F39"/>
    <w:rsid w:val="0091403F"/>
    <w:rsid w:val="00917961"/>
    <w:rsid w:val="00920711"/>
    <w:rsid w:val="0092183A"/>
    <w:rsid w:val="00923046"/>
    <w:rsid w:val="0092356A"/>
    <w:rsid w:val="009338D5"/>
    <w:rsid w:val="00933D33"/>
    <w:rsid w:val="00935907"/>
    <w:rsid w:val="009444F6"/>
    <w:rsid w:val="009472B9"/>
    <w:rsid w:val="009477DD"/>
    <w:rsid w:val="00952B41"/>
    <w:rsid w:val="00961690"/>
    <w:rsid w:val="00964DE7"/>
    <w:rsid w:val="00967A60"/>
    <w:rsid w:val="009714DC"/>
    <w:rsid w:val="00971AED"/>
    <w:rsid w:val="00972121"/>
    <w:rsid w:val="00973EEF"/>
    <w:rsid w:val="009742D3"/>
    <w:rsid w:val="009763E6"/>
    <w:rsid w:val="009768BE"/>
    <w:rsid w:val="0099005D"/>
    <w:rsid w:val="00990A8D"/>
    <w:rsid w:val="00993A2F"/>
    <w:rsid w:val="009941F1"/>
    <w:rsid w:val="009970E8"/>
    <w:rsid w:val="009A212B"/>
    <w:rsid w:val="009A70F5"/>
    <w:rsid w:val="009B0FC5"/>
    <w:rsid w:val="009B12B4"/>
    <w:rsid w:val="009B136D"/>
    <w:rsid w:val="009B34F4"/>
    <w:rsid w:val="009B3E03"/>
    <w:rsid w:val="009B679A"/>
    <w:rsid w:val="009B67DE"/>
    <w:rsid w:val="009C0834"/>
    <w:rsid w:val="009C0E95"/>
    <w:rsid w:val="009D0E9D"/>
    <w:rsid w:val="009E2FBA"/>
    <w:rsid w:val="009F4239"/>
    <w:rsid w:val="00A028B4"/>
    <w:rsid w:val="00A03DF3"/>
    <w:rsid w:val="00A0552C"/>
    <w:rsid w:val="00A06DD8"/>
    <w:rsid w:val="00A13339"/>
    <w:rsid w:val="00A21061"/>
    <w:rsid w:val="00A31143"/>
    <w:rsid w:val="00A36F7A"/>
    <w:rsid w:val="00A42970"/>
    <w:rsid w:val="00A45013"/>
    <w:rsid w:val="00A45CAD"/>
    <w:rsid w:val="00A462B3"/>
    <w:rsid w:val="00A46AEB"/>
    <w:rsid w:val="00A50E1C"/>
    <w:rsid w:val="00A61DA6"/>
    <w:rsid w:val="00A706A9"/>
    <w:rsid w:val="00A715E7"/>
    <w:rsid w:val="00A735A8"/>
    <w:rsid w:val="00A7474A"/>
    <w:rsid w:val="00A76BE5"/>
    <w:rsid w:val="00A81287"/>
    <w:rsid w:val="00A8346B"/>
    <w:rsid w:val="00A8361B"/>
    <w:rsid w:val="00A877F8"/>
    <w:rsid w:val="00A9069C"/>
    <w:rsid w:val="00A959CD"/>
    <w:rsid w:val="00A96943"/>
    <w:rsid w:val="00A970DF"/>
    <w:rsid w:val="00AA0A99"/>
    <w:rsid w:val="00AA3B23"/>
    <w:rsid w:val="00AA6561"/>
    <w:rsid w:val="00AA7036"/>
    <w:rsid w:val="00AB1026"/>
    <w:rsid w:val="00AB3811"/>
    <w:rsid w:val="00AB5432"/>
    <w:rsid w:val="00AB63C1"/>
    <w:rsid w:val="00AC078D"/>
    <w:rsid w:val="00AC3C10"/>
    <w:rsid w:val="00AD402C"/>
    <w:rsid w:val="00AD5F2A"/>
    <w:rsid w:val="00AD72BC"/>
    <w:rsid w:val="00AE27FA"/>
    <w:rsid w:val="00AE4B6C"/>
    <w:rsid w:val="00AF1590"/>
    <w:rsid w:val="00AF49DE"/>
    <w:rsid w:val="00AF6510"/>
    <w:rsid w:val="00AF7903"/>
    <w:rsid w:val="00B00F7E"/>
    <w:rsid w:val="00B05884"/>
    <w:rsid w:val="00B161B3"/>
    <w:rsid w:val="00B17814"/>
    <w:rsid w:val="00B17D08"/>
    <w:rsid w:val="00B17D86"/>
    <w:rsid w:val="00B24E33"/>
    <w:rsid w:val="00B26FE6"/>
    <w:rsid w:val="00B32AF2"/>
    <w:rsid w:val="00B34480"/>
    <w:rsid w:val="00B35C08"/>
    <w:rsid w:val="00B35E78"/>
    <w:rsid w:val="00B37655"/>
    <w:rsid w:val="00B42FD4"/>
    <w:rsid w:val="00B4399E"/>
    <w:rsid w:val="00B44903"/>
    <w:rsid w:val="00B47DC1"/>
    <w:rsid w:val="00B50BAC"/>
    <w:rsid w:val="00B54BAE"/>
    <w:rsid w:val="00B54F62"/>
    <w:rsid w:val="00B5506A"/>
    <w:rsid w:val="00B63FBC"/>
    <w:rsid w:val="00B67475"/>
    <w:rsid w:val="00B7005D"/>
    <w:rsid w:val="00B70D99"/>
    <w:rsid w:val="00B74050"/>
    <w:rsid w:val="00B74C3C"/>
    <w:rsid w:val="00B82AA0"/>
    <w:rsid w:val="00B82F38"/>
    <w:rsid w:val="00B865C9"/>
    <w:rsid w:val="00B86C48"/>
    <w:rsid w:val="00B91E13"/>
    <w:rsid w:val="00B93670"/>
    <w:rsid w:val="00B9611D"/>
    <w:rsid w:val="00B96FAF"/>
    <w:rsid w:val="00BA18D9"/>
    <w:rsid w:val="00BA5D65"/>
    <w:rsid w:val="00BB01DA"/>
    <w:rsid w:val="00BB14A6"/>
    <w:rsid w:val="00BB33F1"/>
    <w:rsid w:val="00BB4CBA"/>
    <w:rsid w:val="00BC6517"/>
    <w:rsid w:val="00BC7C88"/>
    <w:rsid w:val="00BD1779"/>
    <w:rsid w:val="00BD36B3"/>
    <w:rsid w:val="00BE32F5"/>
    <w:rsid w:val="00BE6C2E"/>
    <w:rsid w:val="00BE7F6F"/>
    <w:rsid w:val="00BF0835"/>
    <w:rsid w:val="00BF2B2D"/>
    <w:rsid w:val="00C00A29"/>
    <w:rsid w:val="00C043A6"/>
    <w:rsid w:val="00C04FD5"/>
    <w:rsid w:val="00C06FE8"/>
    <w:rsid w:val="00C104F9"/>
    <w:rsid w:val="00C1084F"/>
    <w:rsid w:val="00C112D0"/>
    <w:rsid w:val="00C11DC0"/>
    <w:rsid w:val="00C152E3"/>
    <w:rsid w:val="00C1607A"/>
    <w:rsid w:val="00C17622"/>
    <w:rsid w:val="00C20A11"/>
    <w:rsid w:val="00C25CC3"/>
    <w:rsid w:val="00C27BF9"/>
    <w:rsid w:val="00C30702"/>
    <w:rsid w:val="00C31268"/>
    <w:rsid w:val="00C31810"/>
    <w:rsid w:val="00C37073"/>
    <w:rsid w:val="00C37F37"/>
    <w:rsid w:val="00C46670"/>
    <w:rsid w:val="00C50D06"/>
    <w:rsid w:val="00C532A5"/>
    <w:rsid w:val="00C54E0C"/>
    <w:rsid w:val="00C60E82"/>
    <w:rsid w:val="00C61BF4"/>
    <w:rsid w:val="00C6459F"/>
    <w:rsid w:val="00C709AA"/>
    <w:rsid w:val="00C70D25"/>
    <w:rsid w:val="00C75C51"/>
    <w:rsid w:val="00C859BE"/>
    <w:rsid w:val="00C9597D"/>
    <w:rsid w:val="00C974FB"/>
    <w:rsid w:val="00CA0134"/>
    <w:rsid w:val="00CA4771"/>
    <w:rsid w:val="00CA5FB4"/>
    <w:rsid w:val="00CB09C8"/>
    <w:rsid w:val="00CB1D83"/>
    <w:rsid w:val="00CB5E6A"/>
    <w:rsid w:val="00CB7ACA"/>
    <w:rsid w:val="00CC151F"/>
    <w:rsid w:val="00CC1772"/>
    <w:rsid w:val="00CC25D6"/>
    <w:rsid w:val="00CC3CDF"/>
    <w:rsid w:val="00CC4075"/>
    <w:rsid w:val="00CC6914"/>
    <w:rsid w:val="00CD05B5"/>
    <w:rsid w:val="00CD4BDE"/>
    <w:rsid w:val="00CD5AE1"/>
    <w:rsid w:val="00CD72A0"/>
    <w:rsid w:val="00CE23DC"/>
    <w:rsid w:val="00CE3DA0"/>
    <w:rsid w:val="00CE55FD"/>
    <w:rsid w:val="00CE5D3D"/>
    <w:rsid w:val="00CE5E5D"/>
    <w:rsid w:val="00CF02FA"/>
    <w:rsid w:val="00CF2D90"/>
    <w:rsid w:val="00CF3940"/>
    <w:rsid w:val="00CF4912"/>
    <w:rsid w:val="00CF51E5"/>
    <w:rsid w:val="00D07C12"/>
    <w:rsid w:val="00D1087A"/>
    <w:rsid w:val="00D149EE"/>
    <w:rsid w:val="00D220EA"/>
    <w:rsid w:val="00D234EA"/>
    <w:rsid w:val="00D23892"/>
    <w:rsid w:val="00D2655C"/>
    <w:rsid w:val="00D31C17"/>
    <w:rsid w:val="00D32088"/>
    <w:rsid w:val="00D3493D"/>
    <w:rsid w:val="00D42A35"/>
    <w:rsid w:val="00D50F28"/>
    <w:rsid w:val="00D51A2A"/>
    <w:rsid w:val="00D53A33"/>
    <w:rsid w:val="00D613FF"/>
    <w:rsid w:val="00D6762A"/>
    <w:rsid w:val="00D718AB"/>
    <w:rsid w:val="00D74C5D"/>
    <w:rsid w:val="00D75064"/>
    <w:rsid w:val="00D76712"/>
    <w:rsid w:val="00D806E9"/>
    <w:rsid w:val="00D81AE8"/>
    <w:rsid w:val="00D83DB3"/>
    <w:rsid w:val="00D913DA"/>
    <w:rsid w:val="00DA14A6"/>
    <w:rsid w:val="00DA189F"/>
    <w:rsid w:val="00DA61F1"/>
    <w:rsid w:val="00DA67F5"/>
    <w:rsid w:val="00DA7B6D"/>
    <w:rsid w:val="00DB03DD"/>
    <w:rsid w:val="00DB3661"/>
    <w:rsid w:val="00DB432F"/>
    <w:rsid w:val="00DB491C"/>
    <w:rsid w:val="00DB6035"/>
    <w:rsid w:val="00DC29F0"/>
    <w:rsid w:val="00DC41D3"/>
    <w:rsid w:val="00DD5FC3"/>
    <w:rsid w:val="00DE1077"/>
    <w:rsid w:val="00DE5572"/>
    <w:rsid w:val="00DE6773"/>
    <w:rsid w:val="00DF21E7"/>
    <w:rsid w:val="00DF3AD1"/>
    <w:rsid w:val="00DF7C58"/>
    <w:rsid w:val="00E01F10"/>
    <w:rsid w:val="00E06B94"/>
    <w:rsid w:val="00E11376"/>
    <w:rsid w:val="00E11C1C"/>
    <w:rsid w:val="00E11F2C"/>
    <w:rsid w:val="00E14120"/>
    <w:rsid w:val="00E16CB7"/>
    <w:rsid w:val="00E17B3E"/>
    <w:rsid w:val="00E20029"/>
    <w:rsid w:val="00E21454"/>
    <w:rsid w:val="00E21665"/>
    <w:rsid w:val="00E224FE"/>
    <w:rsid w:val="00E22BCB"/>
    <w:rsid w:val="00E240E0"/>
    <w:rsid w:val="00E253D2"/>
    <w:rsid w:val="00E3160A"/>
    <w:rsid w:val="00E3250E"/>
    <w:rsid w:val="00E40A97"/>
    <w:rsid w:val="00E417CD"/>
    <w:rsid w:val="00E439F8"/>
    <w:rsid w:val="00E4747B"/>
    <w:rsid w:val="00E513A1"/>
    <w:rsid w:val="00E52A97"/>
    <w:rsid w:val="00E5400D"/>
    <w:rsid w:val="00E60BB5"/>
    <w:rsid w:val="00E61DE7"/>
    <w:rsid w:val="00E62423"/>
    <w:rsid w:val="00E62ADE"/>
    <w:rsid w:val="00E6331C"/>
    <w:rsid w:val="00E638DA"/>
    <w:rsid w:val="00E64C72"/>
    <w:rsid w:val="00E664B2"/>
    <w:rsid w:val="00E714D1"/>
    <w:rsid w:val="00E72CE0"/>
    <w:rsid w:val="00E743E0"/>
    <w:rsid w:val="00E7453F"/>
    <w:rsid w:val="00E80B50"/>
    <w:rsid w:val="00E82275"/>
    <w:rsid w:val="00E8259C"/>
    <w:rsid w:val="00E82924"/>
    <w:rsid w:val="00E84501"/>
    <w:rsid w:val="00E874FE"/>
    <w:rsid w:val="00E87E6B"/>
    <w:rsid w:val="00E902A0"/>
    <w:rsid w:val="00E90DCA"/>
    <w:rsid w:val="00E91703"/>
    <w:rsid w:val="00E94203"/>
    <w:rsid w:val="00E96EC3"/>
    <w:rsid w:val="00EA12F6"/>
    <w:rsid w:val="00EA20BC"/>
    <w:rsid w:val="00EA64BD"/>
    <w:rsid w:val="00EB2825"/>
    <w:rsid w:val="00EB513C"/>
    <w:rsid w:val="00EB5891"/>
    <w:rsid w:val="00EB6F52"/>
    <w:rsid w:val="00EC05AE"/>
    <w:rsid w:val="00EC425A"/>
    <w:rsid w:val="00EC6093"/>
    <w:rsid w:val="00EC7A08"/>
    <w:rsid w:val="00EE0BDA"/>
    <w:rsid w:val="00EF79DC"/>
    <w:rsid w:val="00F01814"/>
    <w:rsid w:val="00F04CDB"/>
    <w:rsid w:val="00F11CF6"/>
    <w:rsid w:val="00F13661"/>
    <w:rsid w:val="00F143FB"/>
    <w:rsid w:val="00F14F36"/>
    <w:rsid w:val="00F22E4F"/>
    <w:rsid w:val="00F24F2E"/>
    <w:rsid w:val="00F258C7"/>
    <w:rsid w:val="00F33557"/>
    <w:rsid w:val="00F34176"/>
    <w:rsid w:val="00F35AC7"/>
    <w:rsid w:val="00F4509C"/>
    <w:rsid w:val="00F473C8"/>
    <w:rsid w:val="00F53929"/>
    <w:rsid w:val="00F63615"/>
    <w:rsid w:val="00F639AE"/>
    <w:rsid w:val="00F670FA"/>
    <w:rsid w:val="00F67A74"/>
    <w:rsid w:val="00F70B86"/>
    <w:rsid w:val="00F73BE6"/>
    <w:rsid w:val="00F73C26"/>
    <w:rsid w:val="00F745DA"/>
    <w:rsid w:val="00F76EF1"/>
    <w:rsid w:val="00F77E99"/>
    <w:rsid w:val="00F809C6"/>
    <w:rsid w:val="00F864D6"/>
    <w:rsid w:val="00F8760D"/>
    <w:rsid w:val="00F9198A"/>
    <w:rsid w:val="00F971ED"/>
    <w:rsid w:val="00FA1E70"/>
    <w:rsid w:val="00FA41E2"/>
    <w:rsid w:val="00FA422D"/>
    <w:rsid w:val="00FA546C"/>
    <w:rsid w:val="00FB10A8"/>
    <w:rsid w:val="00FB1B76"/>
    <w:rsid w:val="00FB356F"/>
    <w:rsid w:val="00FB7DA7"/>
    <w:rsid w:val="00FD0BC3"/>
    <w:rsid w:val="00FD1778"/>
    <w:rsid w:val="00FD18E4"/>
    <w:rsid w:val="00FD1A5A"/>
    <w:rsid w:val="00FD62FA"/>
    <w:rsid w:val="00FD6E38"/>
    <w:rsid w:val="00FE24E4"/>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qFormat/>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qFormat/>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35"/>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TAL">
    <w:name w:val="TAL"/>
    <w:basedOn w:val="Normal"/>
    <w:link w:val="TALChar"/>
    <w:rsid w:val="00CD05B5"/>
    <w:pPr>
      <w:keepNext/>
      <w:keepLines/>
      <w:overflowPunct/>
      <w:autoSpaceDE/>
      <w:autoSpaceDN/>
      <w:adjustRightInd/>
      <w:spacing w:after="0"/>
      <w:textAlignment w:val="auto"/>
    </w:pPr>
    <w:rPr>
      <w:rFonts w:ascii="Arial" w:hAnsi="Arial"/>
      <w:sz w:val="18"/>
      <w:lang w:val="en-GB"/>
    </w:rPr>
  </w:style>
  <w:style w:type="character" w:customStyle="1" w:styleId="TALChar">
    <w:name w:val="TAL Char"/>
    <w:link w:val="TAL"/>
    <w:qFormat/>
    <w:locked/>
    <w:rsid w:val="00CD05B5"/>
    <w:rPr>
      <w:rFonts w:ascii="Arial" w:eastAsia="SimSun" w:hAnsi="Arial" w:cs="Times New Roman"/>
      <w:sz w:val="18"/>
      <w:szCs w:val="20"/>
      <w:lang w:val="en-GB"/>
    </w:rPr>
  </w:style>
  <w:style w:type="table" w:styleId="GridTable3-Accent2">
    <w:name w:val="Grid Table 3 Accent 2"/>
    <w:basedOn w:val="TableNormal"/>
    <w:uiPriority w:val="48"/>
    <w:rsid w:val="00E5400D"/>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7.wmf"/><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4E0BE-3C3C-4562-8C3E-8AD87517F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7</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69</cp:revision>
  <dcterms:created xsi:type="dcterms:W3CDTF">2018-08-10T23:22:00Z</dcterms:created>
  <dcterms:modified xsi:type="dcterms:W3CDTF">2018-11-02T21:14:00Z</dcterms:modified>
</cp:coreProperties>
</file>